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Lines="100" w:line="300" w:lineRule="auto"/>
        <w:ind w:right="-382" w:rightChars="-182"/>
        <w:jc w:val="left"/>
        <w:rPr>
          <w:rFonts w:ascii="楷体" w:hAnsi="楷体" w:eastAsia="楷体"/>
          <w:bCs/>
          <w:sz w:val="28"/>
          <w:szCs w:val="28"/>
        </w:rPr>
      </w:pPr>
      <w:r>
        <w:rPr>
          <w:rFonts w:ascii="楷体" w:hAnsi="楷体" w:eastAsia="楷体"/>
          <w:bCs/>
          <w:sz w:val="28"/>
          <w:szCs w:val="28"/>
        </w:rPr>
        <w:t>合同编号：</w:t>
      </w:r>
    </w:p>
    <w:p>
      <w:pPr>
        <w:snapToGrid w:val="0"/>
        <w:spacing w:afterLines="100" w:line="300" w:lineRule="auto"/>
        <w:ind w:right="-382" w:rightChars="-182"/>
        <w:jc w:val="center"/>
        <w:rPr>
          <w:rFonts w:ascii="楷体" w:hAnsi="楷体" w:eastAsia="楷体"/>
          <w:bCs/>
          <w:sz w:val="28"/>
          <w:szCs w:val="28"/>
        </w:rPr>
      </w:pPr>
    </w:p>
    <w:p>
      <w:pPr>
        <w:pStyle w:val="46"/>
        <w:jc w:val="center"/>
        <w:rPr>
          <w:rFonts w:ascii="楷体" w:hAnsi="楷体" w:eastAsia="楷体"/>
          <w:b/>
          <w:sz w:val="36"/>
          <w:szCs w:val="36"/>
        </w:rPr>
      </w:pPr>
    </w:p>
    <w:p>
      <w:pPr>
        <w:pStyle w:val="46"/>
        <w:jc w:val="center"/>
        <w:rPr>
          <w:rFonts w:ascii="楷体" w:hAnsi="楷体" w:eastAsia="楷体"/>
          <w:b/>
          <w:sz w:val="36"/>
          <w:szCs w:val="36"/>
        </w:rPr>
      </w:pPr>
    </w:p>
    <w:p>
      <w:pPr>
        <w:pStyle w:val="46"/>
        <w:jc w:val="center"/>
        <w:rPr>
          <w:rFonts w:ascii="楷体" w:hAnsi="楷体" w:eastAsia="楷体"/>
          <w:b/>
          <w:sz w:val="36"/>
          <w:szCs w:val="36"/>
        </w:rPr>
      </w:pPr>
    </w:p>
    <w:p>
      <w:pPr>
        <w:pStyle w:val="46"/>
        <w:jc w:val="center"/>
        <w:rPr>
          <w:rFonts w:ascii="楷体" w:hAnsi="楷体" w:eastAsia="楷体"/>
          <w:b/>
          <w:sz w:val="36"/>
          <w:szCs w:val="36"/>
        </w:rPr>
      </w:pPr>
    </w:p>
    <w:p>
      <w:pPr>
        <w:pStyle w:val="16"/>
        <w:rPr>
          <w:rFonts w:hint="eastAsia" w:ascii="楷体" w:hAnsi="楷体" w:eastAsia="楷体"/>
          <w:sz w:val="24"/>
          <w:szCs w:val="24"/>
          <w:lang w:eastAsia="zh-CN"/>
        </w:rPr>
      </w:pPr>
      <w:r>
        <w:rPr>
          <w:rFonts w:hint="eastAsia" w:ascii="楷体" w:hAnsi="楷体" w:eastAsia="楷体"/>
          <w:sz w:val="44"/>
          <w:szCs w:val="44"/>
          <w:lang w:eastAsia="zh-CN"/>
        </w:rPr>
        <w:t>资产转让协议</w:t>
      </w: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r>
        <w:rPr>
          <w:rFonts w:ascii="楷体" w:hAnsi="楷体" w:eastAsia="楷体"/>
          <w:sz w:val="28"/>
          <w:szCs w:val="28"/>
        </w:rPr>
        <w:t>转 让 方：深圳市招商平安资产管理有限责任公司</w:t>
      </w:r>
    </w:p>
    <w:p>
      <w:pPr>
        <w:spacing w:afterLines="50" w:line="360" w:lineRule="exact"/>
        <w:ind w:firstLine="1680" w:firstLineChars="600"/>
        <w:rPr>
          <w:rFonts w:hint="default" w:ascii="楷体" w:hAnsi="楷体" w:eastAsia="楷体"/>
          <w:sz w:val="28"/>
          <w:szCs w:val="28"/>
          <w:lang w:val="en-US" w:eastAsia="zh-CN"/>
        </w:rPr>
      </w:pPr>
      <w:r>
        <w:rPr>
          <w:rFonts w:ascii="楷体" w:hAnsi="楷体" w:eastAsia="楷体"/>
          <w:sz w:val="28"/>
          <w:szCs w:val="28"/>
        </w:rPr>
        <w:t>受 让 方：</w:t>
      </w:r>
    </w:p>
    <w:p>
      <w:pPr>
        <w:spacing w:afterLines="50" w:line="360" w:lineRule="exact"/>
        <w:ind w:firstLine="1680" w:firstLineChars="600"/>
        <w:rPr>
          <w:rFonts w:ascii="楷体" w:hAnsi="楷体" w:eastAsia="楷体"/>
          <w:sz w:val="28"/>
          <w:szCs w:val="28"/>
        </w:rPr>
      </w:pPr>
      <w:r>
        <w:rPr>
          <w:rFonts w:ascii="楷体" w:hAnsi="楷体" w:eastAsia="楷体"/>
          <w:sz w:val="28"/>
          <w:szCs w:val="28"/>
        </w:rPr>
        <w:t>签订日期：      年     月     日</w:t>
      </w:r>
    </w:p>
    <w:p>
      <w:pPr>
        <w:rPr>
          <w:rFonts w:ascii="楷体" w:hAnsi="楷体" w:eastAsia="楷体"/>
        </w:rPr>
      </w:pPr>
    </w:p>
    <w:p>
      <w:pPr>
        <w:pStyle w:val="40"/>
        <w:spacing w:line="360" w:lineRule="auto"/>
        <w:jc w:val="center"/>
        <w:rPr>
          <w:rFonts w:hint="eastAsia" w:ascii="楷体" w:hAnsi="楷体" w:eastAsia="楷体"/>
          <w:b/>
          <w:bCs/>
          <w:sz w:val="36"/>
          <w:szCs w:val="36"/>
          <w:lang w:eastAsia="zh-CN"/>
        </w:rPr>
      </w:pPr>
      <w:r>
        <w:rPr>
          <w:rFonts w:ascii="楷体" w:hAnsi="楷体" w:eastAsia="楷体"/>
          <w:b/>
          <w:bCs/>
          <w:sz w:val="30"/>
          <w:szCs w:val="30"/>
          <w:lang w:val="zh-CN"/>
        </w:rPr>
        <w:br w:type="page"/>
      </w:r>
      <w:r>
        <w:rPr>
          <w:rFonts w:hint="eastAsia" w:ascii="楷体" w:hAnsi="楷体" w:eastAsia="楷体"/>
          <w:b/>
          <w:bCs/>
          <w:sz w:val="36"/>
          <w:szCs w:val="36"/>
          <w:lang w:eastAsia="zh-CN"/>
        </w:rPr>
        <w:t>资产转让协议</w:t>
      </w:r>
    </w:p>
    <w:p>
      <w:pPr>
        <w:pStyle w:val="40"/>
        <w:spacing w:afterLines="50" w:line="360" w:lineRule="exact"/>
        <w:jc w:val="center"/>
        <w:rPr>
          <w:rFonts w:ascii="楷体" w:hAnsi="楷体" w:eastAsia="楷体"/>
          <w:b/>
          <w:bCs/>
          <w:sz w:val="32"/>
          <w:szCs w:val="32"/>
        </w:rPr>
      </w:pPr>
    </w:p>
    <w:p>
      <w:pPr>
        <w:pStyle w:val="7"/>
        <w:spacing w:afterLines="50" w:line="360" w:lineRule="exact"/>
        <w:ind w:left="0" w:leftChars="0"/>
        <w:rPr>
          <w:rFonts w:ascii="楷体" w:hAnsi="楷体" w:eastAsia="楷体"/>
          <w:sz w:val="24"/>
          <w:szCs w:val="24"/>
        </w:rPr>
      </w:pPr>
      <w:r>
        <w:rPr>
          <w:rFonts w:ascii="楷体" w:hAnsi="楷体" w:eastAsia="楷体"/>
          <w:sz w:val="24"/>
          <w:szCs w:val="24"/>
        </w:rPr>
        <w:t>本</w:t>
      </w:r>
      <w:r>
        <w:rPr>
          <w:rFonts w:ascii="楷体" w:hAnsi="楷体" w:eastAsia="楷体"/>
          <w:kern w:val="0"/>
          <w:sz w:val="24"/>
          <w:szCs w:val="24"/>
        </w:rPr>
        <w:t>合同</w:t>
      </w:r>
      <w:r>
        <w:rPr>
          <w:rFonts w:ascii="楷体" w:hAnsi="楷体" w:eastAsia="楷体"/>
          <w:sz w:val="24"/>
          <w:szCs w:val="24"/>
        </w:rPr>
        <w:t>由以下双方于</w:t>
      </w:r>
      <w:r>
        <w:rPr>
          <w:rFonts w:hint="eastAsia" w:ascii="楷体" w:hAnsi="楷体" w:eastAsia="楷体"/>
          <w:sz w:val="24"/>
          <w:szCs w:val="24"/>
        </w:rPr>
        <w:t>2021</w:t>
      </w:r>
      <w:r>
        <w:rPr>
          <w:rFonts w:ascii="楷体" w:hAnsi="楷体" w:eastAsia="楷体"/>
          <w:sz w:val="24"/>
          <w:szCs w:val="24"/>
        </w:rPr>
        <w:t>年</w:t>
      </w:r>
      <w:r>
        <w:rPr>
          <w:rFonts w:hint="eastAsia" w:ascii="楷体" w:hAnsi="楷体" w:eastAsia="楷体"/>
          <w:sz w:val="24"/>
          <w:szCs w:val="24"/>
        </w:rPr>
        <w:t xml:space="preserve">    </w:t>
      </w:r>
      <w:r>
        <w:rPr>
          <w:rFonts w:ascii="楷体" w:hAnsi="楷体" w:eastAsia="楷体"/>
          <w:sz w:val="24"/>
          <w:szCs w:val="24"/>
        </w:rPr>
        <w:t>月</w:t>
      </w:r>
      <w:r>
        <w:rPr>
          <w:rFonts w:hint="eastAsia" w:ascii="楷体" w:hAnsi="楷体" w:eastAsia="楷体"/>
          <w:sz w:val="24"/>
          <w:szCs w:val="24"/>
        </w:rPr>
        <w:t xml:space="preserve">   </w:t>
      </w:r>
      <w:r>
        <w:rPr>
          <w:rFonts w:ascii="楷体" w:hAnsi="楷体" w:eastAsia="楷体"/>
          <w:sz w:val="24"/>
          <w:szCs w:val="24"/>
        </w:rPr>
        <w:t>日在中国</w:t>
      </w:r>
      <w:r>
        <w:rPr>
          <w:rFonts w:hint="eastAsia" w:ascii="楷体" w:hAnsi="楷体" w:eastAsia="楷体"/>
          <w:sz w:val="24"/>
          <w:szCs w:val="24"/>
        </w:rPr>
        <w:t>深圳</w:t>
      </w:r>
      <w:r>
        <w:rPr>
          <w:rFonts w:ascii="楷体" w:hAnsi="楷体" w:eastAsia="楷体"/>
          <w:sz w:val="24"/>
          <w:szCs w:val="24"/>
        </w:rPr>
        <w:t>市</w:t>
      </w:r>
      <w:r>
        <w:rPr>
          <w:rFonts w:hint="eastAsia" w:ascii="楷体" w:hAnsi="楷体" w:eastAsia="楷体"/>
          <w:sz w:val="24"/>
          <w:szCs w:val="24"/>
        </w:rPr>
        <w:t>南山</w:t>
      </w:r>
      <w:r>
        <w:rPr>
          <w:rFonts w:ascii="楷体" w:hAnsi="楷体" w:eastAsia="楷体"/>
          <w:sz w:val="24"/>
          <w:szCs w:val="24"/>
        </w:rPr>
        <w:t>区签署：</w:t>
      </w:r>
    </w:p>
    <w:p>
      <w:pPr>
        <w:spacing w:afterLines="50" w:line="360" w:lineRule="exact"/>
        <w:rPr>
          <w:rFonts w:ascii="楷体" w:hAnsi="楷体" w:eastAsia="楷体"/>
          <w:b/>
          <w:bCs/>
          <w:sz w:val="24"/>
          <w:szCs w:val="24"/>
          <w:u w:val="single"/>
        </w:rPr>
      </w:pPr>
      <w:r>
        <w:rPr>
          <w:rFonts w:hint="eastAsia" w:ascii="楷体" w:hAnsi="楷体" w:eastAsia="楷体"/>
          <w:b/>
          <w:bCs/>
          <w:sz w:val="24"/>
          <w:szCs w:val="24"/>
        </w:rPr>
        <w:t>转让方</w:t>
      </w:r>
      <w:r>
        <w:rPr>
          <w:rFonts w:ascii="楷体" w:hAnsi="楷体" w:eastAsia="楷体"/>
          <w:b/>
          <w:bCs/>
          <w:sz w:val="24"/>
          <w:szCs w:val="24"/>
        </w:rPr>
        <w:t>：深圳市招商平安资产管理有限责任公司</w:t>
      </w:r>
      <w:r>
        <w:rPr>
          <w:rFonts w:hint="eastAsia" w:ascii="楷体" w:hAnsi="楷体" w:eastAsia="楷体"/>
          <w:b/>
          <w:bCs/>
          <w:sz w:val="24"/>
          <w:szCs w:val="24"/>
        </w:rPr>
        <w:t>（以下简称“甲方”）</w:t>
      </w:r>
    </w:p>
    <w:p>
      <w:pPr>
        <w:spacing w:afterLines="50" w:line="360" w:lineRule="exact"/>
        <w:rPr>
          <w:rFonts w:ascii="楷体" w:hAnsi="楷体" w:eastAsia="楷体" w:cs="楷体"/>
          <w:sz w:val="24"/>
          <w:szCs w:val="24"/>
        </w:rPr>
      </w:pPr>
      <w:r>
        <w:rPr>
          <w:rFonts w:hint="eastAsia" w:ascii="楷体" w:hAnsi="楷体" w:eastAsia="楷体" w:cs="楷体"/>
          <w:sz w:val="24"/>
          <w:szCs w:val="24"/>
        </w:rPr>
        <w:t>法定代表人:陈明理</w:t>
      </w:r>
    </w:p>
    <w:p>
      <w:pPr>
        <w:spacing w:afterLines="50" w:line="360" w:lineRule="exact"/>
        <w:rPr>
          <w:rFonts w:ascii="楷体" w:hAnsi="楷体" w:eastAsia="楷体" w:cs="楷体"/>
          <w:sz w:val="24"/>
          <w:szCs w:val="24"/>
          <w:u w:val="single"/>
        </w:rPr>
      </w:pPr>
      <w:r>
        <w:rPr>
          <w:rFonts w:hint="eastAsia" w:ascii="楷体" w:hAnsi="楷体" w:eastAsia="楷体" w:cs="楷体"/>
          <w:sz w:val="24"/>
          <w:szCs w:val="24"/>
        </w:rPr>
        <w:t>地址: 深圳市南山区后海滨路3168号中海油大厦B座40楼</w:t>
      </w:r>
      <w:r>
        <w:rPr>
          <w:rFonts w:hint="eastAsia" w:ascii="楷体" w:hAnsi="楷体" w:eastAsia="楷体" w:cs="楷体"/>
          <w:sz w:val="12"/>
          <w:szCs w:val="12"/>
        </w:rPr>
        <w:t> </w:t>
      </w:r>
    </w:p>
    <w:p>
      <w:pPr>
        <w:spacing w:afterLines="50" w:line="360" w:lineRule="exact"/>
        <w:rPr>
          <w:rFonts w:ascii="楷体" w:hAnsi="楷体" w:eastAsia="楷体" w:cs="楷体"/>
          <w:sz w:val="24"/>
          <w:szCs w:val="24"/>
          <w:u w:val="single"/>
        </w:rPr>
      </w:pPr>
      <w:r>
        <w:rPr>
          <w:rFonts w:hint="eastAsia" w:ascii="楷体" w:hAnsi="楷体" w:eastAsia="楷体" w:cs="楷体"/>
          <w:sz w:val="24"/>
          <w:szCs w:val="24"/>
        </w:rPr>
        <w:t>联系人：卢思雅         联系电话：18520025699</w:t>
      </w:r>
    </w:p>
    <w:p>
      <w:pPr>
        <w:spacing w:afterLines="50"/>
        <w:rPr>
          <w:rFonts w:ascii="楷体" w:hAnsi="楷体" w:eastAsia="楷体"/>
          <w:b/>
          <w:bCs/>
          <w:sz w:val="24"/>
          <w:szCs w:val="24"/>
        </w:rPr>
      </w:pPr>
    </w:p>
    <w:p>
      <w:pPr>
        <w:spacing w:afterLines="50" w:line="360" w:lineRule="exact"/>
        <w:rPr>
          <w:rFonts w:ascii="楷体" w:hAnsi="楷体" w:eastAsia="楷体"/>
          <w:b/>
          <w:bCs/>
          <w:sz w:val="24"/>
          <w:szCs w:val="24"/>
        </w:rPr>
      </w:pPr>
      <w:r>
        <w:rPr>
          <w:rFonts w:hint="eastAsia" w:ascii="楷体" w:hAnsi="楷体" w:eastAsia="楷体"/>
          <w:b/>
          <w:bCs/>
          <w:sz w:val="24"/>
          <w:szCs w:val="24"/>
        </w:rPr>
        <w:t>受让方</w:t>
      </w:r>
      <w:r>
        <w:rPr>
          <w:rFonts w:ascii="楷体" w:hAnsi="楷体" w:eastAsia="楷体"/>
          <w:b/>
          <w:bCs/>
          <w:sz w:val="24"/>
          <w:szCs w:val="24"/>
        </w:rPr>
        <w:t>：</w:t>
      </w:r>
      <w:r>
        <w:rPr>
          <w:rFonts w:hint="eastAsia" w:ascii="楷体" w:hAnsi="楷体" w:eastAsia="楷体"/>
          <w:b/>
          <w:bCs/>
          <w:sz w:val="24"/>
          <w:szCs w:val="24"/>
        </w:rPr>
        <w:t>（以下简称“乙方”）</w:t>
      </w:r>
    </w:p>
    <w:p>
      <w:pPr>
        <w:spacing w:afterLines="50" w:line="360" w:lineRule="exact"/>
        <w:rPr>
          <w:rFonts w:hint="default" w:ascii="楷体" w:hAnsi="楷体" w:eastAsia="楷体"/>
          <w:sz w:val="24"/>
          <w:szCs w:val="24"/>
          <w:u w:val="single"/>
          <w:lang w:val="en-US" w:eastAsia="zh-CN"/>
        </w:rPr>
      </w:pPr>
      <w:r>
        <w:rPr>
          <w:rFonts w:ascii="楷体" w:hAnsi="楷体" w:eastAsia="楷体"/>
          <w:sz w:val="24"/>
          <w:szCs w:val="24"/>
        </w:rPr>
        <w:t>法定代表人/负责人：</w:t>
      </w:r>
    </w:p>
    <w:p>
      <w:pPr>
        <w:spacing w:afterLines="50" w:line="360" w:lineRule="exact"/>
        <w:rPr>
          <w:rFonts w:ascii="楷体" w:hAnsi="楷体" w:eastAsia="楷体"/>
          <w:sz w:val="24"/>
          <w:szCs w:val="24"/>
          <w:u w:val="single"/>
        </w:rPr>
      </w:pPr>
      <w:r>
        <w:rPr>
          <w:rFonts w:ascii="楷体" w:hAnsi="楷体" w:eastAsia="楷体"/>
          <w:sz w:val="24"/>
          <w:szCs w:val="24"/>
        </w:rPr>
        <w:t>地址：</w:t>
      </w:r>
    </w:p>
    <w:p>
      <w:pPr>
        <w:spacing w:afterLines="50" w:line="360" w:lineRule="exact"/>
        <w:rPr>
          <w:rFonts w:ascii="楷体" w:hAnsi="楷体" w:eastAsia="楷体"/>
          <w:sz w:val="24"/>
          <w:szCs w:val="24"/>
          <w:u w:val="single"/>
        </w:rPr>
      </w:pPr>
      <w:r>
        <w:rPr>
          <w:rFonts w:ascii="楷体" w:hAnsi="楷体" w:eastAsia="楷体"/>
          <w:sz w:val="24"/>
          <w:szCs w:val="24"/>
        </w:rPr>
        <w:t>联系人：         联系电话：</w:t>
      </w:r>
    </w:p>
    <w:p>
      <w:pPr>
        <w:spacing w:afterLines="50"/>
        <w:rPr>
          <w:rFonts w:ascii="楷体" w:hAnsi="楷体" w:eastAsia="楷体"/>
          <w:sz w:val="24"/>
          <w:szCs w:val="24"/>
        </w:rPr>
      </w:pPr>
    </w:p>
    <w:p>
      <w:pPr>
        <w:spacing w:afterLines="50" w:line="360" w:lineRule="exact"/>
        <w:rPr>
          <w:rFonts w:ascii="楷体" w:hAnsi="楷体" w:eastAsia="楷体"/>
          <w:sz w:val="24"/>
          <w:szCs w:val="24"/>
        </w:rPr>
      </w:pPr>
      <w:r>
        <w:rPr>
          <w:rFonts w:ascii="楷体" w:hAnsi="楷体" w:eastAsia="楷体"/>
          <w:sz w:val="24"/>
          <w:szCs w:val="24"/>
        </w:rPr>
        <w:t>（上述主体单称“一方”，合称“双方”）</w:t>
      </w:r>
    </w:p>
    <w:p>
      <w:pPr>
        <w:spacing w:afterLines="50" w:line="360" w:lineRule="exact"/>
        <w:rPr>
          <w:rFonts w:ascii="楷体" w:hAnsi="楷体" w:eastAsia="楷体"/>
          <w:sz w:val="24"/>
          <w:szCs w:val="24"/>
        </w:rPr>
      </w:pPr>
    </w:p>
    <w:p>
      <w:pPr>
        <w:spacing w:afterLines="50" w:line="360" w:lineRule="exact"/>
        <w:rPr>
          <w:rFonts w:ascii="楷体" w:hAnsi="楷体" w:eastAsia="楷体"/>
          <w:b/>
          <w:bCs/>
          <w:sz w:val="24"/>
          <w:szCs w:val="24"/>
        </w:rPr>
      </w:pPr>
      <w:r>
        <w:rPr>
          <w:rFonts w:ascii="楷体" w:hAnsi="楷体" w:eastAsia="楷体"/>
          <w:b/>
          <w:bCs/>
          <w:sz w:val="24"/>
          <w:szCs w:val="24"/>
        </w:rPr>
        <w:t>鉴于：</w:t>
      </w:r>
    </w:p>
    <w:p>
      <w:pPr>
        <w:pStyle w:val="59"/>
        <w:numPr>
          <w:ilvl w:val="0"/>
          <w:numId w:val="1"/>
        </w:numPr>
        <w:tabs>
          <w:tab w:val="left" w:pos="735"/>
        </w:tabs>
        <w:spacing w:afterLines="50" w:line="360" w:lineRule="exact"/>
        <w:ind w:firstLineChars="0"/>
        <w:rPr>
          <w:rFonts w:ascii="楷体" w:hAnsi="楷体" w:eastAsia="楷体"/>
          <w:sz w:val="24"/>
          <w:szCs w:val="24"/>
        </w:rPr>
      </w:pPr>
      <w:r>
        <w:rPr>
          <w:rFonts w:ascii="楷体" w:hAnsi="楷体" w:eastAsia="楷体"/>
          <w:sz w:val="24"/>
          <w:szCs w:val="24"/>
        </w:rPr>
        <w:t>甲方合法拥有本合同附件1《标的债权清单》项下的标的债权及其附属权益，具备依法转让标的债权的资质。</w:t>
      </w:r>
    </w:p>
    <w:p>
      <w:pPr>
        <w:pStyle w:val="59"/>
        <w:numPr>
          <w:ilvl w:val="0"/>
          <w:numId w:val="1"/>
        </w:numPr>
        <w:tabs>
          <w:tab w:val="left" w:pos="735"/>
        </w:tabs>
        <w:spacing w:afterLines="50" w:line="360" w:lineRule="exact"/>
        <w:ind w:firstLineChars="0"/>
        <w:rPr>
          <w:rFonts w:ascii="楷体" w:hAnsi="楷体" w:eastAsia="楷体"/>
          <w:sz w:val="24"/>
          <w:szCs w:val="24"/>
        </w:rPr>
      </w:pPr>
      <w:r>
        <w:rPr>
          <w:rFonts w:ascii="楷体" w:hAnsi="楷体" w:eastAsia="楷体"/>
          <w:sz w:val="24"/>
          <w:szCs w:val="24"/>
        </w:rPr>
        <w:t>乙方具备受让资格并自主决定受让本合同附件1《标的债权清单》项下的标的债权。</w:t>
      </w:r>
    </w:p>
    <w:p>
      <w:pPr>
        <w:pStyle w:val="59"/>
        <w:numPr>
          <w:ilvl w:val="0"/>
          <w:numId w:val="1"/>
        </w:numPr>
        <w:tabs>
          <w:tab w:val="left" w:pos="735"/>
          <w:tab w:val="clear" w:pos="709"/>
        </w:tabs>
        <w:spacing w:afterLines="50" w:line="360" w:lineRule="exact"/>
        <w:ind w:left="735" w:hanging="735" w:firstLineChars="0"/>
        <w:rPr>
          <w:rFonts w:ascii="楷体" w:hAnsi="楷体" w:eastAsia="楷体"/>
          <w:sz w:val="24"/>
          <w:szCs w:val="24"/>
        </w:rPr>
      </w:pPr>
      <w:r>
        <w:rPr>
          <w:rFonts w:ascii="楷体" w:hAnsi="楷体" w:eastAsia="楷体"/>
          <w:sz w:val="24"/>
          <w:szCs w:val="24"/>
        </w:rPr>
        <w:t>甲方同意按照本合同约定转让且乙方同意按照本合同约定受让本合同项下的标的债权。</w:t>
      </w:r>
    </w:p>
    <w:p>
      <w:pPr>
        <w:spacing w:afterLines="50" w:line="360" w:lineRule="exact"/>
        <w:rPr>
          <w:rFonts w:ascii="楷体" w:hAnsi="楷体" w:eastAsia="楷体"/>
          <w:sz w:val="24"/>
          <w:szCs w:val="24"/>
        </w:rPr>
      </w:pPr>
      <w:r>
        <w:rPr>
          <w:rFonts w:ascii="楷体" w:hAnsi="楷体" w:eastAsia="楷体"/>
          <w:sz w:val="24"/>
          <w:szCs w:val="24"/>
        </w:rPr>
        <w:t xml:space="preserve">    为进一步明确双方的权利义务关系，甲乙双方在平等自愿、友好协商的基础上，就标的债权转让事宜达成以下条款，以资共同遵守。</w:t>
      </w:r>
    </w:p>
    <w:p>
      <w:pPr>
        <w:numPr>
          <w:ilvl w:val="0"/>
          <w:numId w:val="2"/>
        </w:numPr>
        <w:spacing w:afterLines="50" w:line="360" w:lineRule="exact"/>
        <w:ind w:left="709" w:hanging="709"/>
        <w:outlineLvl w:val="0"/>
        <w:rPr>
          <w:rFonts w:ascii="楷体" w:hAnsi="楷体" w:eastAsia="楷体"/>
          <w:b/>
          <w:bCs/>
          <w:sz w:val="24"/>
          <w:szCs w:val="24"/>
        </w:rPr>
      </w:pPr>
      <w:bookmarkStart w:id="0" w:name="_Toc7525"/>
      <w:bookmarkStart w:id="1" w:name="_Toc28041"/>
      <w:bookmarkStart w:id="2" w:name="_Toc494225877"/>
      <w:bookmarkStart w:id="3" w:name="_Toc494284903"/>
      <w:bookmarkStart w:id="4" w:name="_Toc533512270"/>
      <w:r>
        <w:rPr>
          <w:rFonts w:ascii="楷体" w:hAnsi="楷体" w:eastAsia="楷体"/>
          <w:b/>
          <w:bCs/>
          <w:sz w:val="24"/>
          <w:szCs w:val="24"/>
        </w:rPr>
        <w:t>定义</w:t>
      </w:r>
      <w:bookmarkEnd w:id="0"/>
      <w:bookmarkEnd w:id="1"/>
      <w:bookmarkEnd w:id="2"/>
      <w:bookmarkEnd w:id="3"/>
      <w:bookmarkEnd w:id="4"/>
    </w:p>
    <w:p>
      <w:pPr>
        <w:spacing w:afterLines="50" w:line="360" w:lineRule="exact"/>
        <w:rPr>
          <w:rFonts w:ascii="楷体" w:hAnsi="楷体" w:eastAsia="楷体"/>
          <w:sz w:val="24"/>
          <w:szCs w:val="24"/>
        </w:rPr>
      </w:pPr>
      <w:r>
        <w:rPr>
          <w:rFonts w:ascii="楷体" w:hAnsi="楷体" w:eastAsia="楷体"/>
          <w:sz w:val="24"/>
          <w:szCs w:val="24"/>
        </w:rPr>
        <w:t xml:space="preserve">    除非本合同上下文另有解释或文义另有所指，下列词语或简称在本合同及本合同附件中具有以下特定涵义：</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主债权：指截至基准日，附件1《标的债权清单》所列示的甲方对债务人享有的并依法可向乙方转让的债权（包含债权本金、利息及相关资产文件项下的其他权利）。</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从权利：指与主债权相关的保证债权、抵押权、质权等附属权利。</w:t>
      </w:r>
    </w:p>
    <w:p>
      <w:pPr>
        <w:numPr>
          <w:ilvl w:val="1"/>
          <w:numId w:val="2"/>
        </w:numPr>
        <w:spacing w:afterLines="50" w:line="360" w:lineRule="exact"/>
        <w:ind w:left="709" w:right="84" w:rightChars="40" w:hanging="709"/>
        <w:outlineLvl w:val="1"/>
        <w:rPr>
          <w:rFonts w:ascii="楷体" w:hAnsi="楷体" w:eastAsia="楷体"/>
          <w:sz w:val="24"/>
          <w:szCs w:val="24"/>
        </w:rPr>
      </w:pPr>
      <w:r>
        <w:rPr>
          <w:rFonts w:ascii="楷体" w:hAnsi="楷体" w:eastAsia="楷体"/>
          <w:sz w:val="24"/>
          <w:szCs w:val="24"/>
        </w:rPr>
        <w:t>标的债权：指截至基准日的主债权、从权利以及由此转化的其他相关权益的通称。其他相关权益是指：基准日前，甲方（及其前手）因管理、处置需要可能已与《标的债权清单》中部分债务人（包括担保人）达成包括但不限于重组协议、和解协议、抵债协议，或接受法院抵债裁定，而这些协议并未履行完毕或抵债物未完成过户，因此，乙方受让的对该等债务人（包括担保人）的债权，已从原始的贷款合同、担保合同项下的债权，全部或部分转化为前述协议项下或法院生效裁定所对应的权利，包括法院退回的甲方及其前手交纳的诉讼费用。</w:t>
      </w:r>
    </w:p>
    <w:p>
      <w:pPr>
        <w:numPr>
          <w:ilvl w:val="1"/>
          <w:numId w:val="2"/>
        </w:numPr>
        <w:spacing w:afterLines="100" w:line="300" w:lineRule="auto"/>
        <w:ind w:left="709" w:hanging="709"/>
        <w:outlineLvl w:val="1"/>
        <w:rPr>
          <w:rFonts w:ascii="楷体" w:hAnsi="楷体" w:eastAsia="楷体"/>
          <w:sz w:val="24"/>
          <w:szCs w:val="24"/>
        </w:rPr>
      </w:pPr>
      <w:r>
        <w:rPr>
          <w:rFonts w:ascii="楷体" w:hAnsi="楷体" w:eastAsia="楷体"/>
          <w:sz w:val="24"/>
          <w:szCs w:val="24"/>
        </w:rPr>
        <w:t>债务人：指《标的债权清单》所列的借款人，以及该等债务的受让人、承担人及承继人。</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义务人：指本合同中标的债权的债务人和/或担保人（单独或者合称“原义务人”）以及赔偿责任人（与原义务人单独或者合称“义务人”）。“义务人”包括但不限于本合同《标的债权清单》所列明的义务人或者经债务转移/债务承继/债务加入后新增之公司/企业、其他经济组织（包括清算组织）、自然人的全部、部分。</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担保人：指为担保《标的债权清单》所列债务之履行而提供担保的保证人、抵（质）押人、留置人的全部、部分。</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标的债权文件：指截至公告日甲方所持有的与确认和行使标的债权相关的法律文件。包括截至基准日甲方所持有的并通过淘宝网、京东等资产处置平台等其他方式向竞买人披露的与标的债权相关的法律文件和甲方所持有的在过渡期和交接期内新产生的与标的债权相关的法律文件。</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处置收入：指自基准日起的任何期间内，就标的债权所实际收到的全部现金款项、抵债资产和其他相关权益。</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处置费用：指自基准日起，在处置标的债权过程中实际发生的所有必要和合理的费用和开支，包括但不限于为资产管理、处置所发生的案件受理费、保全费、执行费、律师费、评估费、拍卖费、公告费等（应具有相关的协议、合同、发票、付款凭证等合法凭据及付款的法律依据），并根据本合同第6.3款确定。</w:t>
      </w:r>
    </w:p>
    <w:p>
      <w:pPr>
        <w:numPr>
          <w:ilvl w:val="1"/>
          <w:numId w:val="2"/>
        </w:numPr>
        <w:spacing w:afterLines="50" w:line="360" w:lineRule="exact"/>
        <w:ind w:left="709" w:hanging="709"/>
        <w:jc w:val="left"/>
        <w:outlineLvl w:val="1"/>
        <w:rPr>
          <w:rFonts w:ascii="楷体" w:hAnsi="楷体" w:eastAsia="楷体"/>
          <w:sz w:val="24"/>
          <w:szCs w:val="24"/>
        </w:rPr>
      </w:pPr>
      <w:r>
        <w:rPr>
          <w:rFonts w:ascii="楷体" w:hAnsi="楷体" w:eastAsia="楷体"/>
          <w:sz w:val="24"/>
          <w:szCs w:val="24"/>
        </w:rPr>
        <w:t>基准日：指甲方确定的</w:t>
      </w:r>
      <w:r>
        <w:rPr>
          <w:rFonts w:hint="eastAsia" w:ascii="楷体" w:hAnsi="楷体" w:eastAsia="楷体"/>
          <w:sz w:val="24"/>
          <w:szCs w:val="24"/>
          <w:lang w:val="en-US" w:eastAsia="zh-CN"/>
        </w:rPr>
        <w:t>自该日起债权回收额均归乙方所有，债权基准日为2021年10月13日</w:t>
      </w:r>
      <w:r>
        <w:rPr>
          <w:rFonts w:ascii="楷体" w:hAnsi="楷体" w:eastAsia="楷体"/>
          <w:sz w:val="24"/>
          <w:szCs w:val="24"/>
        </w:rPr>
        <w:t>。</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权利转移日：指乙方向甲方依照本合同约定支付完毕全部转让价款及</w:t>
      </w:r>
      <w:r>
        <w:rPr>
          <w:rFonts w:hint="eastAsia" w:ascii="楷体" w:hAnsi="楷体" w:eastAsia="楷体"/>
          <w:sz w:val="24"/>
          <w:szCs w:val="24"/>
          <w:lang w:eastAsia="zh-CN"/>
        </w:rPr>
        <w:t>补充价款</w:t>
      </w:r>
      <w:r>
        <w:rPr>
          <w:rFonts w:ascii="楷体" w:hAnsi="楷体" w:eastAsia="楷体"/>
          <w:sz w:val="24"/>
          <w:szCs w:val="24"/>
        </w:rPr>
        <w:t>（如有）之日。</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交割日：指标的债权文件交接完成之日</w:t>
      </w:r>
      <w:r>
        <w:rPr>
          <w:rFonts w:hint="eastAsia" w:ascii="楷体" w:hAnsi="楷体" w:eastAsia="楷体"/>
          <w:sz w:val="24"/>
          <w:szCs w:val="24"/>
        </w:rPr>
        <w:t>。</w:t>
      </w:r>
    </w:p>
    <w:p>
      <w:pPr>
        <w:numPr>
          <w:ilvl w:val="1"/>
          <w:numId w:val="2"/>
        </w:numPr>
        <w:spacing w:afterLines="50" w:line="360" w:lineRule="exact"/>
        <w:ind w:left="709" w:hanging="709"/>
        <w:outlineLvl w:val="1"/>
        <w:rPr>
          <w:rFonts w:ascii="楷体" w:hAnsi="楷体" w:eastAsia="楷体"/>
          <w:sz w:val="24"/>
          <w:szCs w:val="24"/>
          <w:highlight w:val="none"/>
        </w:rPr>
      </w:pPr>
      <w:r>
        <w:rPr>
          <w:rFonts w:ascii="楷体" w:hAnsi="楷体" w:eastAsia="楷体"/>
          <w:sz w:val="24"/>
          <w:szCs w:val="24"/>
          <w:highlight w:val="none"/>
        </w:rPr>
        <w:t>过渡期：指自基准日（不含本日）起至权利转移日（含本日）止的期间。</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交接期：指自权利转移日（不含本日）起至交割日（含本日）止的期间。</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转让价款：指依据本合同的约定，乙方为受让标的债权而应向甲方支付的全部对价。</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公告日：指在乙方支付完毕全部转让价款的前提下，就本合同项下的标的债权整体转让事宜，甲方以公告形式向债务人及担保人发出通知之日。</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工作日：指除周六、周日和中国的法定节假日之外的任何一天，但包括根据国务院当年节假日放假安排，定为工作日的周六、周日。</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法定期间：指法律、法规规定的各种期间，包括但不限于上诉期、申诉期、申请执行期间、保证期间、破产债权申报期间。</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机构：指法人和依法成立的其他组织的合称。</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法律：指中国任何立法机关、国家机构或监管机构颁布的、适用并约束本合同任何一方的一切法律、法规、规章、规定、条例、指令等规范性文件。</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元：如无特别约定，指中国法定货币人民币元。</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中国：指中华人民共和国（为本合同之目的，不包括香港特别行政区、澳门特别行政区和台湾地区）。</w:t>
      </w:r>
    </w:p>
    <w:p>
      <w:pPr>
        <w:numPr>
          <w:ilvl w:val="0"/>
          <w:numId w:val="2"/>
        </w:numPr>
        <w:spacing w:afterLines="50" w:line="360" w:lineRule="exact"/>
        <w:ind w:left="709" w:hanging="709"/>
        <w:outlineLvl w:val="0"/>
        <w:rPr>
          <w:rFonts w:ascii="楷体" w:hAnsi="楷体" w:eastAsia="楷体"/>
          <w:b/>
          <w:bCs/>
          <w:sz w:val="24"/>
          <w:szCs w:val="24"/>
        </w:rPr>
      </w:pPr>
      <w:bookmarkStart w:id="5" w:name="_Toc494225878"/>
      <w:bookmarkStart w:id="6" w:name="_Toc1704"/>
      <w:bookmarkStart w:id="7" w:name="_Toc533512271"/>
      <w:bookmarkStart w:id="8" w:name="_Toc494284904"/>
      <w:bookmarkStart w:id="9" w:name="_Toc892"/>
      <w:r>
        <w:rPr>
          <w:rFonts w:ascii="楷体" w:hAnsi="楷体" w:eastAsia="楷体"/>
          <w:b/>
          <w:bCs/>
          <w:sz w:val="24"/>
          <w:szCs w:val="24"/>
        </w:rPr>
        <w:t>风险揭示</w:t>
      </w:r>
      <w:bookmarkEnd w:id="5"/>
      <w:bookmarkEnd w:id="6"/>
      <w:bookmarkEnd w:id="7"/>
      <w:bookmarkEnd w:id="8"/>
      <w:bookmarkEnd w:id="9"/>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乙方已被告知并完全理解，乙方受让债权后，由于相关法律法规规章  政策限制，导致乙方通过处置最终能够获得的标的债权数额可能小于本合同（含附件）中列明的标的债权数额。</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乙方已被告知并完全理解，乙方受让标的债权后，对该标的债权在基准日以后产生的利息、罚息的请求权，乙方可能无法继续享有。</w:t>
      </w:r>
    </w:p>
    <w:p>
      <w:pPr>
        <w:numPr>
          <w:ilvl w:val="1"/>
          <w:numId w:val="2"/>
        </w:numPr>
        <w:spacing w:afterLines="50" w:line="360" w:lineRule="exact"/>
        <w:ind w:left="709" w:hanging="709"/>
        <w:outlineLvl w:val="1"/>
        <w:rPr>
          <w:rFonts w:ascii="楷体" w:hAnsi="楷体" w:eastAsia="楷体"/>
          <w:b/>
          <w:bCs/>
          <w:sz w:val="24"/>
          <w:szCs w:val="24"/>
        </w:rPr>
      </w:pPr>
      <w:r>
        <w:rPr>
          <w:rFonts w:ascii="楷体" w:hAnsi="楷体" w:eastAsia="楷体"/>
          <w:sz w:val="24"/>
          <w:szCs w:val="24"/>
        </w:rPr>
        <w:t>乙方已被告知并完全理解标的债权可能存在包括但不限于下列一项或者多项瑕疵或者缺陷，以至于乙方预期利益无法实现：</w:t>
      </w:r>
    </w:p>
    <w:p>
      <w:pPr>
        <w:numPr>
          <w:ilvl w:val="0"/>
          <w:numId w:val="3"/>
        </w:numPr>
        <w:tabs>
          <w:tab w:val="left" w:pos="1418"/>
        </w:tabs>
        <w:spacing w:afterLines="50" w:line="360" w:lineRule="exact"/>
        <w:ind w:left="1418" w:hanging="709"/>
        <w:rPr>
          <w:rFonts w:ascii="楷体" w:hAnsi="楷体" w:eastAsia="楷体"/>
          <w:bCs/>
          <w:sz w:val="24"/>
          <w:szCs w:val="24"/>
        </w:rPr>
      </w:pPr>
      <w:r>
        <w:rPr>
          <w:rFonts w:ascii="楷体" w:hAnsi="楷体" w:eastAsia="楷体"/>
          <w:sz w:val="24"/>
          <w:szCs w:val="24"/>
        </w:rPr>
        <w:t>标的债权文件及其涉及的前手债权人、债务人、共同债务人（如有）、担保人、义务人等陈述与保证可能存在不真实、不准确、不充分的情形，导致标的债权可能不存在、无效、被撤销、已全部/部分履行等风险；</w:t>
      </w:r>
    </w:p>
    <w:p>
      <w:pPr>
        <w:numPr>
          <w:ilvl w:val="0"/>
          <w:numId w:val="3"/>
        </w:numPr>
        <w:tabs>
          <w:tab w:val="left" w:pos="1418"/>
        </w:tabs>
        <w:spacing w:afterLines="50" w:line="360" w:lineRule="exact"/>
        <w:ind w:left="1418" w:hanging="709"/>
        <w:rPr>
          <w:rFonts w:ascii="楷体" w:hAnsi="楷体" w:eastAsia="楷体"/>
          <w:sz w:val="24"/>
          <w:szCs w:val="24"/>
        </w:rPr>
      </w:pPr>
      <w:r>
        <w:rPr>
          <w:rFonts w:ascii="楷体" w:hAnsi="楷体" w:eastAsia="楷体"/>
          <w:sz w:val="24"/>
          <w:szCs w:val="24"/>
        </w:rPr>
        <w:t>与标的债权相关的债务人和/或担保人和/或义务人和/或第三方可能存在破产、被解散/注销/撤销/关闭/吊销、歇业、下落不明，以及其他主体存续性瑕疵的情形；</w:t>
      </w:r>
    </w:p>
    <w:p>
      <w:pPr>
        <w:numPr>
          <w:ilvl w:val="0"/>
          <w:numId w:val="3"/>
        </w:numPr>
        <w:tabs>
          <w:tab w:val="left" w:pos="1418"/>
        </w:tabs>
        <w:spacing w:afterLines="50" w:line="360" w:lineRule="exact"/>
        <w:ind w:left="1418" w:hanging="709"/>
        <w:rPr>
          <w:rFonts w:ascii="楷体" w:hAnsi="楷体" w:eastAsia="楷体"/>
          <w:sz w:val="24"/>
          <w:szCs w:val="24"/>
        </w:rPr>
      </w:pPr>
      <w:r>
        <w:rPr>
          <w:rFonts w:ascii="楷体" w:hAnsi="楷体" w:eastAsia="楷体"/>
          <w:sz w:val="24"/>
          <w:szCs w:val="24"/>
        </w:rPr>
        <w:t>物权担保合同项下的担保物可能存在基于租赁、买卖等合同负有对第三方的义务、其他优先权人、被查封/扣押/没收、短少/不存在/毁损/灭失、欠缴税费、不能实际占有等情形；</w:t>
      </w:r>
    </w:p>
    <w:p>
      <w:pPr>
        <w:numPr>
          <w:ilvl w:val="0"/>
          <w:numId w:val="3"/>
        </w:numPr>
        <w:tabs>
          <w:tab w:val="left" w:pos="1418"/>
        </w:tabs>
        <w:spacing w:afterLines="50" w:line="360" w:lineRule="exact"/>
        <w:ind w:left="1418" w:hanging="709"/>
        <w:rPr>
          <w:rFonts w:ascii="楷体" w:hAnsi="楷体" w:eastAsia="楷体"/>
          <w:sz w:val="24"/>
          <w:szCs w:val="24"/>
        </w:rPr>
      </w:pPr>
      <w:r>
        <w:rPr>
          <w:rFonts w:ascii="楷体" w:hAnsi="楷体" w:eastAsia="楷体"/>
          <w:sz w:val="24"/>
          <w:szCs w:val="24"/>
        </w:rPr>
        <w:t>重组债务、重组补偿金、违约金等标的债权可能存在因已过诉讼时效、保证期间等法定期间丧失、违反法律强制性规定等而部分/全部不被法院或仲裁机构支持或不被法院强制执行的风险；</w:t>
      </w:r>
    </w:p>
    <w:p>
      <w:pPr>
        <w:numPr>
          <w:ilvl w:val="0"/>
          <w:numId w:val="3"/>
        </w:numPr>
        <w:tabs>
          <w:tab w:val="left" w:pos="1418"/>
        </w:tabs>
        <w:spacing w:afterLines="50" w:line="360" w:lineRule="exact"/>
        <w:ind w:left="1418" w:hanging="709"/>
        <w:rPr>
          <w:rFonts w:ascii="楷体" w:hAnsi="楷体" w:eastAsia="楷体"/>
          <w:bCs/>
          <w:sz w:val="24"/>
          <w:szCs w:val="24"/>
        </w:rPr>
      </w:pPr>
      <w:r>
        <w:rPr>
          <w:rFonts w:ascii="楷体" w:hAnsi="楷体" w:eastAsia="楷体"/>
          <w:sz w:val="24"/>
          <w:szCs w:val="24"/>
        </w:rPr>
        <w:t>本次转让的标的债权，由于可能存在的计算误差或其他原因，受让方实际接收的标的债权金额与《标的债权清单》（见附件1）载明的债权金额不完全一致。</w:t>
      </w:r>
    </w:p>
    <w:p>
      <w:pPr>
        <w:numPr>
          <w:ilvl w:val="1"/>
          <w:numId w:val="2"/>
        </w:numPr>
        <w:spacing w:afterLines="50" w:line="360" w:lineRule="exact"/>
        <w:ind w:left="667" w:hanging="667" w:hangingChars="278"/>
        <w:outlineLvl w:val="1"/>
        <w:rPr>
          <w:rFonts w:ascii="楷体" w:hAnsi="楷体" w:eastAsia="楷体"/>
          <w:sz w:val="24"/>
          <w:szCs w:val="24"/>
        </w:rPr>
      </w:pPr>
      <w:r>
        <w:rPr>
          <w:rFonts w:ascii="楷体" w:hAnsi="楷体" w:eastAsia="楷体"/>
          <w:sz w:val="24"/>
          <w:szCs w:val="24"/>
        </w:rPr>
        <w:t>乙方承诺并确认，已被甲方告知、仔细阅读并完全理解本合同及其附件揭示的风险，除本合同另有约定外，自愿承担因标的债权可能存在的瑕疵或者缺陷造成的一切损失以及不能获得相应预期利益的后果，不就标的债权可能存在的任何瑕疵、缺陷向甲方主张包括调减转让价款等任何权利。</w:t>
      </w:r>
    </w:p>
    <w:p>
      <w:pPr>
        <w:numPr>
          <w:ilvl w:val="0"/>
          <w:numId w:val="2"/>
        </w:numPr>
        <w:spacing w:afterLines="50" w:line="360" w:lineRule="exact"/>
        <w:ind w:left="709" w:hanging="709"/>
        <w:outlineLvl w:val="0"/>
        <w:rPr>
          <w:rFonts w:ascii="楷体" w:hAnsi="楷体" w:eastAsia="楷体"/>
          <w:b/>
          <w:bCs/>
          <w:sz w:val="24"/>
          <w:szCs w:val="24"/>
        </w:rPr>
      </w:pPr>
      <w:bookmarkStart w:id="10" w:name="_Toc533512272"/>
      <w:bookmarkStart w:id="11" w:name="_Toc28127"/>
      <w:bookmarkStart w:id="12" w:name="_Toc494225879"/>
      <w:bookmarkStart w:id="13" w:name="_Toc494284905"/>
      <w:bookmarkStart w:id="14" w:name="_Toc13990"/>
      <w:r>
        <w:rPr>
          <w:rFonts w:ascii="楷体" w:hAnsi="楷体" w:eastAsia="楷体"/>
          <w:b/>
          <w:bCs/>
          <w:sz w:val="24"/>
          <w:szCs w:val="24"/>
        </w:rPr>
        <w:t>标的债权的数额</w:t>
      </w:r>
    </w:p>
    <w:p>
      <w:pPr>
        <w:spacing w:afterLines="100" w:line="300" w:lineRule="auto"/>
        <w:ind w:left="667" w:hanging="667" w:hangingChars="277"/>
        <w:jc w:val="left"/>
        <w:outlineLvl w:val="0"/>
        <w:rPr>
          <w:rFonts w:ascii="楷体" w:hAnsi="楷体" w:eastAsia="楷体" w:cs="楷体"/>
          <w:b/>
          <w:bCs/>
          <w:sz w:val="24"/>
          <w:szCs w:val="24"/>
        </w:rPr>
      </w:pPr>
      <w:r>
        <w:rPr>
          <w:rFonts w:ascii="楷体" w:hAnsi="楷体" w:eastAsia="楷体"/>
          <w:b/>
          <w:bCs/>
          <w:sz w:val="24"/>
          <w:szCs w:val="24"/>
        </w:rPr>
        <w:t xml:space="preserve">      标的债权的账面金额合计为人民币</w:t>
      </w:r>
      <w:r>
        <w:rPr>
          <w:rFonts w:hint="eastAsia" w:ascii="楷体" w:hAnsi="楷体" w:eastAsia="楷体"/>
          <w:sz w:val="24"/>
          <w:szCs w:val="24"/>
          <w:u w:val="single"/>
          <w:lang w:val="en-US" w:eastAsia="zh-CN"/>
        </w:rPr>
        <w:t xml:space="preserve">      </w:t>
      </w:r>
      <w:r>
        <w:rPr>
          <w:rFonts w:hint="eastAsia" w:ascii="楷体" w:hAnsi="楷体" w:eastAsia="楷体" w:cs="楷体"/>
          <w:b/>
          <w:bCs/>
          <w:sz w:val="24"/>
          <w:szCs w:val="24"/>
        </w:rPr>
        <w:t>(小写：￥</w:t>
      </w:r>
      <w:r>
        <w:rPr>
          <w:rFonts w:hint="eastAsia" w:ascii="楷体" w:hAnsi="楷体" w:eastAsia="楷体" w:cs="楷体"/>
          <w:b/>
          <w:bCs/>
          <w:sz w:val="24"/>
          <w:szCs w:val="24"/>
          <w:u w:val="single"/>
          <w:lang w:val="en-US" w:eastAsia="zh-CN"/>
        </w:rPr>
        <w:t xml:space="preserve">      </w:t>
      </w:r>
      <w:r>
        <w:rPr>
          <w:rFonts w:hint="eastAsia" w:ascii="楷体" w:hAnsi="楷体" w:eastAsia="楷体" w:cs="楷体"/>
          <w:b/>
          <w:bCs/>
          <w:sz w:val="24"/>
          <w:szCs w:val="24"/>
        </w:rPr>
        <w:t>元)。标的债权的账面余额详见本合同附件1。</w:t>
      </w:r>
    </w:p>
    <w:p>
      <w:pPr>
        <w:numPr>
          <w:ilvl w:val="0"/>
          <w:numId w:val="2"/>
        </w:numPr>
        <w:spacing w:afterLines="50" w:line="360" w:lineRule="exact"/>
        <w:ind w:left="709" w:hanging="709"/>
        <w:outlineLvl w:val="0"/>
        <w:rPr>
          <w:rFonts w:ascii="楷体" w:hAnsi="楷体" w:eastAsia="楷体"/>
          <w:b/>
          <w:bCs/>
          <w:sz w:val="24"/>
          <w:szCs w:val="24"/>
        </w:rPr>
      </w:pPr>
      <w:r>
        <w:rPr>
          <w:rFonts w:ascii="楷体" w:hAnsi="楷体" w:eastAsia="楷体"/>
          <w:b/>
          <w:bCs/>
          <w:sz w:val="24"/>
          <w:szCs w:val="24"/>
        </w:rPr>
        <w:t>转让价款及支付方式</w:t>
      </w:r>
      <w:bookmarkEnd w:id="10"/>
      <w:bookmarkEnd w:id="11"/>
      <w:bookmarkEnd w:id="12"/>
      <w:bookmarkEnd w:id="13"/>
      <w:bookmarkEnd w:id="14"/>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本合同项下债权资产的转让价款为人民币</w:t>
      </w:r>
      <w:r>
        <w:rPr>
          <w:rFonts w:hint="eastAsia" w:ascii="楷体" w:hAnsi="楷体" w:eastAsia="楷体"/>
          <w:sz w:val="24"/>
          <w:szCs w:val="24"/>
          <w:u w:val="single"/>
          <w:lang w:val="en-US" w:eastAsia="zh-CN"/>
        </w:rPr>
        <w:t xml:space="preserve">     </w:t>
      </w:r>
      <w:r>
        <w:rPr>
          <w:rFonts w:ascii="楷体" w:hAnsi="楷体" w:eastAsia="楷体"/>
          <w:sz w:val="24"/>
          <w:szCs w:val="24"/>
        </w:rPr>
        <w:t>（小写：</w:t>
      </w:r>
      <w:r>
        <w:rPr>
          <w:rFonts w:ascii="楷体" w:hAnsi="楷体" w:eastAsia="楷体"/>
          <w:b/>
          <w:bCs/>
          <w:sz w:val="24"/>
          <w:szCs w:val="24"/>
        </w:rPr>
        <w:t>￥</w:t>
      </w:r>
      <w:r>
        <w:rPr>
          <w:rFonts w:hint="eastAsia" w:ascii="楷体" w:hAnsi="楷体" w:eastAsia="楷体" w:cs="楷体"/>
          <w:b/>
          <w:bCs/>
          <w:sz w:val="24"/>
          <w:szCs w:val="24"/>
          <w:u w:val="single"/>
          <w:lang w:val="en-US" w:eastAsia="zh-CN"/>
        </w:rPr>
        <w:t xml:space="preserve">      </w:t>
      </w:r>
      <w:r>
        <w:rPr>
          <w:rFonts w:hint="eastAsia" w:ascii="楷体" w:hAnsi="楷体" w:eastAsia="楷体" w:cs="楷体"/>
          <w:b/>
          <w:bCs/>
          <w:sz w:val="24"/>
          <w:szCs w:val="24"/>
        </w:rPr>
        <w:t>元</w:t>
      </w:r>
      <w:r>
        <w:rPr>
          <w:rFonts w:ascii="楷体" w:hAnsi="楷体" w:eastAsia="楷体"/>
          <w:sz w:val="24"/>
          <w:szCs w:val="24"/>
        </w:rPr>
        <w:t>）。</w:t>
      </w:r>
    </w:p>
    <w:p>
      <w:pPr>
        <w:numPr>
          <w:ilvl w:val="1"/>
          <w:numId w:val="2"/>
        </w:numPr>
        <w:spacing w:afterLines="100" w:line="300" w:lineRule="auto"/>
        <w:ind w:left="709" w:hanging="709"/>
        <w:rPr>
          <w:rFonts w:ascii="楷体" w:hAnsi="楷体" w:eastAsia="楷体"/>
          <w:sz w:val="24"/>
          <w:szCs w:val="24"/>
        </w:rPr>
      </w:pPr>
      <w:r>
        <w:rPr>
          <w:rFonts w:ascii="楷体" w:hAnsi="楷体" w:eastAsia="楷体"/>
          <w:sz w:val="24"/>
          <w:szCs w:val="24"/>
        </w:rPr>
        <w:t>付款方式按照如下约定进行：</w:t>
      </w:r>
    </w:p>
    <w:p>
      <w:pPr>
        <w:numPr>
          <w:ilvl w:val="0"/>
          <w:numId w:val="0"/>
        </w:numPr>
        <w:tabs>
          <w:tab w:val="left" w:pos="1418"/>
        </w:tabs>
        <w:spacing w:afterLines="50" w:line="360" w:lineRule="exact"/>
        <w:ind w:left="709" w:leftChars="0"/>
        <w:rPr>
          <w:rFonts w:ascii="楷体" w:hAnsi="楷体" w:eastAsia="楷体"/>
          <w:sz w:val="24"/>
          <w:szCs w:val="24"/>
        </w:rPr>
      </w:pPr>
      <w:r>
        <w:rPr>
          <w:rFonts w:ascii="楷体" w:hAnsi="楷体" w:eastAsia="楷体"/>
          <w:sz w:val="24"/>
          <w:szCs w:val="24"/>
        </w:rPr>
        <w:t>一次性付款：自本合同</w:t>
      </w:r>
      <w:r>
        <w:rPr>
          <w:rFonts w:hint="eastAsia" w:ascii="楷体" w:hAnsi="楷体" w:eastAsia="楷体"/>
          <w:sz w:val="24"/>
          <w:szCs w:val="24"/>
        </w:rPr>
        <w:t>签订后</w:t>
      </w:r>
      <w:r>
        <w:rPr>
          <w:rFonts w:hint="eastAsia" w:ascii="楷体" w:hAnsi="楷体" w:eastAsia="楷体"/>
          <w:sz w:val="24"/>
          <w:szCs w:val="24"/>
          <w:lang w:val="en-US" w:eastAsia="zh-CN"/>
        </w:rPr>
        <w:t>10</w:t>
      </w:r>
      <w:r>
        <w:rPr>
          <w:rFonts w:hint="eastAsia" w:ascii="楷体" w:hAnsi="楷体" w:eastAsia="楷体"/>
          <w:sz w:val="24"/>
          <w:szCs w:val="24"/>
        </w:rPr>
        <w:t>个工作日内</w:t>
      </w:r>
      <w:r>
        <w:rPr>
          <w:rFonts w:ascii="楷体" w:hAnsi="楷体" w:eastAsia="楷体"/>
          <w:sz w:val="24"/>
          <w:szCs w:val="24"/>
        </w:rPr>
        <w:t>，乙方一次性向甲方支付第4.1款约定的转让价款至甲方指定收款账户。</w:t>
      </w:r>
    </w:p>
    <w:p>
      <w:pPr>
        <w:numPr>
          <w:ilvl w:val="1"/>
          <w:numId w:val="2"/>
        </w:numPr>
        <w:spacing w:afterLines="50" w:line="360" w:lineRule="exact"/>
        <w:ind w:left="709" w:hanging="709"/>
        <w:outlineLvl w:val="1"/>
      </w:pPr>
      <w:r>
        <w:rPr>
          <w:rFonts w:hint="eastAsia" w:ascii="楷体" w:hAnsi="楷体" w:eastAsia="楷体"/>
          <w:sz w:val="24"/>
          <w:szCs w:val="24"/>
        </w:rPr>
        <w:t>甲方指定收款账户如下：</w:t>
      </w:r>
    </w:p>
    <w:p>
      <w:pPr>
        <w:tabs>
          <w:tab w:val="left" w:pos="1418"/>
        </w:tabs>
        <w:spacing w:afterLines="50" w:line="360" w:lineRule="exact"/>
        <w:ind w:left="709"/>
        <w:rPr>
          <w:rFonts w:hint="eastAsia" w:ascii="楷体" w:hAnsi="楷体" w:eastAsia="楷体"/>
          <w:sz w:val="24"/>
          <w:szCs w:val="24"/>
          <w:highlight w:val="yellow"/>
          <w:lang w:val="en-US" w:eastAsia="zh-CN"/>
        </w:rPr>
      </w:pPr>
      <w:r>
        <w:rPr>
          <w:rFonts w:hint="eastAsia" w:ascii="楷体" w:hAnsi="楷体" w:eastAsia="楷体"/>
          <w:sz w:val="24"/>
          <w:szCs w:val="24"/>
          <w:highlight w:val="yellow"/>
          <w:lang w:val="en-US" w:eastAsia="zh-CN"/>
        </w:rPr>
        <w:t>收款人：深圳市招商平安资产管理有限责任公司</w:t>
      </w:r>
    </w:p>
    <w:p>
      <w:pPr>
        <w:tabs>
          <w:tab w:val="left" w:pos="1418"/>
        </w:tabs>
        <w:spacing w:afterLines="50" w:line="360" w:lineRule="exact"/>
        <w:ind w:left="709"/>
        <w:rPr>
          <w:rFonts w:hint="eastAsia" w:ascii="楷体" w:hAnsi="楷体" w:eastAsia="楷体"/>
          <w:sz w:val="24"/>
          <w:szCs w:val="24"/>
          <w:highlight w:val="yellow"/>
          <w:lang w:val="en-US" w:eastAsia="zh-CN"/>
        </w:rPr>
      </w:pPr>
      <w:r>
        <w:rPr>
          <w:rFonts w:hint="eastAsia" w:ascii="楷体" w:hAnsi="楷体" w:eastAsia="楷体"/>
          <w:sz w:val="24"/>
          <w:szCs w:val="24"/>
          <w:highlight w:val="yellow"/>
          <w:lang w:val="en-US" w:eastAsia="zh-CN"/>
        </w:rPr>
        <w:t>开户行：工行深圳市分行蛇口支行</w:t>
      </w:r>
    </w:p>
    <w:p>
      <w:pPr>
        <w:tabs>
          <w:tab w:val="left" w:pos="1418"/>
        </w:tabs>
        <w:spacing w:afterLines="50" w:line="360" w:lineRule="exact"/>
        <w:ind w:left="709"/>
        <w:rPr>
          <w:rFonts w:ascii="楷体" w:hAnsi="楷体" w:eastAsia="楷体"/>
          <w:sz w:val="24"/>
          <w:szCs w:val="24"/>
          <w:highlight w:val="yellow"/>
        </w:rPr>
      </w:pPr>
      <w:r>
        <w:rPr>
          <w:rFonts w:hint="eastAsia" w:ascii="楷体" w:hAnsi="楷体" w:eastAsia="楷体"/>
          <w:sz w:val="24"/>
          <w:szCs w:val="24"/>
          <w:highlight w:val="yellow"/>
          <w:lang w:val="en-US" w:eastAsia="zh-CN"/>
        </w:rPr>
        <w:t>账  号：4000020209200645402</w:t>
      </w:r>
    </w:p>
    <w:p>
      <w:pPr>
        <w:pStyle w:val="6"/>
      </w:pPr>
    </w:p>
    <w:p>
      <w:pPr>
        <w:numPr>
          <w:ilvl w:val="0"/>
          <w:numId w:val="2"/>
        </w:numPr>
        <w:spacing w:afterLines="50" w:line="360" w:lineRule="exact"/>
        <w:ind w:left="709" w:hanging="709"/>
        <w:outlineLvl w:val="0"/>
        <w:rPr>
          <w:rFonts w:ascii="楷体" w:hAnsi="楷体" w:eastAsia="楷体"/>
          <w:b/>
          <w:bCs/>
          <w:sz w:val="24"/>
          <w:szCs w:val="24"/>
        </w:rPr>
      </w:pPr>
      <w:bookmarkStart w:id="15" w:name="_Toc494284906"/>
      <w:bookmarkStart w:id="16" w:name="_Toc24049"/>
      <w:bookmarkStart w:id="17" w:name="_Toc533512273"/>
      <w:bookmarkStart w:id="18" w:name="_Toc494225880"/>
      <w:bookmarkStart w:id="19" w:name="_Toc11529"/>
      <w:r>
        <w:rPr>
          <w:rFonts w:ascii="楷体" w:hAnsi="楷体" w:eastAsia="楷体"/>
          <w:b/>
          <w:bCs/>
          <w:sz w:val="24"/>
          <w:szCs w:val="24"/>
        </w:rPr>
        <w:t>标的债权的转移、交付与公告</w:t>
      </w:r>
      <w:bookmarkEnd w:id="15"/>
      <w:bookmarkEnd w:id="16"/>
      <w:bookmarkEnd w:id="17"/>
      <w:bookmarkEnd w:id="18"/>
      <w:bookmarkEnd w:id="19"/>
    </w:p>
    <w:p>
      <w:pPr>
        <w:numPr>
          <w:ilvl w:val="1"/>
          <w:numId w:val="2"/>
        </w:numPr>
        <w:spacing w:afterLines="50" w:line="360" w:lineRule="exact"/>
        <w:ind w:left="709" w:hanging="709"/>
        <w:outlineLvl w:val="1"/>
        <w:rPr>
          <w:rFonts w:ascii="楷体" w:hAnsi="楷体" w:eastAsia="楷体"/>
          <w:sz w:val="24"/>
          <w:szCs w:val="24"/>
        </w:rPr>
      </w:pPr>
      <w:bookmarkStart w:id="20" w:name="_Ref469149916"/>
      <w:r>
        <w:rPr>
          <w:rFonts w:ascii="楷体" w:hAnsi="楷体" w:eastAsia="楷体"/>
          <w:sz w:val="24"/>
          <w:szCs w:val="24"/>
        </w:rPr>
        <w:t>标的债权的转移</w:t>
      </w:r>
    </w:p>
    <w:p>
      <w:pPr>
        <w:numPr>
          <w:ilvl w:val="0"/>
          <w:numId w:val="4"/>
        </w:numPr>
        <w:tabs>
          <w:tab w:val="left" w:pos="1418"/>
        </w:tabs>
        <w:spacing w:afterLines="50" w:line="360" w:lineRule="exact"/>
        <w:ind w:left="1418" w:hanging="709"/>
        <w:outlineLvl w:val="1"/>
        <w:rPr>
          <w:rFonts w:ascii="楷体" w:hAnsi="楷体" w:eastAsia="楷体"/>
          <w:sz w:val="24"/>
          <w:szCs w:val="24"/>
        </w:rPr>
      </w:pPr>
      <w:r>
        <w:rPr>
          <w:rFonts w:ascii="楷体" w:hAnsi="楷体" w:eastAsia="楷体"/>
          <w:sz w:val="24"/>
          <w:szCs w:val="24"/>
        </w:rPr>
        <w:t>双方确认，在乙方支付完毕全部转让价款及</w:t>
      </w:r>
      <w:r>
        <w:rPr>
          <w:rFonts w:hint="eastAsia" w:ascii="楷体" w:hAnsi="楷体" w:eastAsia="楷体"/>
          <w:sz w:val="24"/>
          <w:szCs w:val="24"/>
          <w:lang w:eastAsia="zh-CN"/>
        </w:rPr>
        <w:t>补充价款</w:t>
      </w:r>
      <w:r>
        <w:rPr>
          <w:rFonts w:ascii="楷体" w:hAnsi="楷体" w:eastAsia="楷体"/>
          <w:sz w:val="24"/>
          <w:szCs w:val="24"/>
        </w:rPr>
        <w:t>（如有）之日，标的债权从甲方转移至乙方。</w:t>
      </w:r>
    </w:p>
    <w:p>
      <w:pPr>
        <w:numPr>
          <w:ilvl w:val="0"/>
          <w:numId w:val="4"/>
        </w:numPr>
        <w:tabs>
          <w:tab w:val="left" w:pos="1418"/>
        </w:tabs>
        <w:spacing w:afterLines="50" w:line="360" w:lineRule="exact"/>
        <w:ind w:left="1418" w:hanging="709"/>
        <w:outlineLvl w:val="1"/>
        <w:rPr>
          <w:rFonts w:ascii="楷体" w:hAnsi="楷体" w:eastAsia="楷体"/>
          <w:sz w:val="24"/>
          <w:szCs w:val="24"/>
        </w:rPr>
      </w:pPr>
      <w:r>
        <w:rPr>
          <w:rFonts w:ascii="楷体" w:hAnsi="楷体" w:eastAsia="楷体"/>
          <w:sz w:val="24"/>
          <w:szCs w:val="24"/>
        </w:rPr>
        <w:t>双方确认，在权利转移日前，标的债权仍归甲方所有，甲方按照本合同的约定对标的债权进行管理。</w:t>
      </w:r>
    </w:p>
    <w:p>
      <w:pPr>
        <w:numPr>
          <w:ilvl w:val="0"/>
          <w:numId w:val="4"/>
        </w:numPr>
        <w:tabs>
          <w:tab w:val="left" w:pos="1418"/>
        </w:tabs>
        <w:spacing w:afterLines="50" w:line="360" w:lineRule="exact"/>
        <w:ind w:left="1418" w:hanging="709"/>
        <w:outlineLvl w:val="1"/>
        <w:rPr>
          <w:rFonts w:ascii="楷体" w:hAnsi="楷体" w:eastAsia="楷体"/>
          <w:sz w:val="24"/>
          <w:szCs w:val="24"/>
        </w:rPr>
      </w:pPr>
      <w:r>
        <w:rPr>
          <w:rFonts w:ascii="楷体" w:hAnsi="楷体" w:eastAsia="楷体"/>
          <w:sz w:val="24"/>
          <w:szCs w:val="24"/>
        </w:rPr>
        <w:t>双方确认，在权利转移日后，标的债权归乙方所有。法律法规规定需要办理相关手续的，由乙方负责办理，甲方予以积极配合，费用由乙方承担。</w:t>
      </w:r>
    </w:p>
    <w:p>
      <w:pPr>
        <w:numPr>
          <w:ilvl w:val="0"/>
          <w:numId w:val="4"/>
        </w:numPr>
        <w:tabs>
          <w:tab w:val="left" w:pos="1418"/>
        </w:tabs>
        <w:spacing w:afterLines="50" w:line="360" w:lineRule="exact"/>
        <w:ind w:left="1418" w:hanging="709"/>
        <w:outlineLvl w:val="1"/>
        <w:rPr>
          <w:rFonts w:ascii="楷体" w:hAnsi="楷体" w:eastAsia="楷体"/>
          <w:sz w:val="24"/>
          <w:szCs w:val="24"/>
        </w:rPr>
      </w:pPr>
      <w:r>
        <w:rPr>
          <w:rFonts w:ascii="楷体" w:hAnsi="楷体" w:eastAsia="楷体"/>
          <w:sz w:val="24"/>
          <w:szCs w:val="24"/>
        </w:rPr>
        <w:t>在乙方支付完毕全部转让价款及</w:t>
      </w:r>
      <w:r>
        <w:rPr>
          <w:rFonts w:hint="eastAsia" w:ascii="楷体" w:hAnsi="楷体" w:eastAsia="楷体"/>
          <w:sz w:val="24"/>
          <w:szCs w:val="24"/>
          <w:lang w:eastAsia="zh-CN"/>
        </w:rPr>
        <w:t>补充价款</w:t>
      </w:r>
      <w:r>
        <w:rPr>
          <w:rFonts w:ascii="楷体" w:hAnsi="楷体" w:eastAsia="楷体"/>
          <w:sz w:val="24"/>
          <w:szCs w:val="24"/>
        </w:rPr>
        <w:t>（如有）的前提下，甲方在过渡期和交接期因管理标的债权所产生的收益（包括现金、抵债资产等），由乙方享有。</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文件的交付</w:t>
      </w:r>
      <w:bookmarkEnd w:id="20"/>
    </w:p>
    <w:p>
      <w:pPr>
        <w:numPr>
          <w:ilvl w:val="0"/>
          <w:numId w:val="5"/>
        </w:numPr>
        <w:tabs>
          <w:tab w:val="left" w:pos="1418"/>
        </w:tabs>
        <w:spacing w:afterLines="50" w:line="360" w:lineRule="exact"/>
        <w:ind w:left="1418" w:hanging="709"/>
        <w:rPr>
          <w:rFonts w:ascii="楷体" w:hAnsi="楷体" w:eastAsia="楷体"/>
          <w:sz w:val="24"/>
          <w:szCs w:val="24"/>
        </w:rPr>
      </w:pPr>
      <w:bookmarkStart w:id="21" w:name="_Ref469178371"/>
      <w:r>
        <w:rPr>
          <w:rFonts w:ascii="楷体" w:hAnsi="楷体" w:eastAsia="楷体"/>
          <w:sz w:val="24"/>
          <w:szCs w:val="24"/>
        </w:rPr>
        <w:t>在交接期内，甲方应将标的债权文件交付给乙方，乙方应签署《债权文件收据》。如乙方不及时受领标的债权文件，则应承担迟延受领标的债权文件所产生的一切法律后果。在交接期后，乙方无权就标的债权文件及其交付范围向甲方提出任何主张。标的债权文件交接完成之日为交割日。</w:t>
      </w:r>
    </w:p>
    <w:bookmarkEnd w:id="21"/>
    <w:p>
      <w:pPr>
        <w:numPr>
          <w:ilvl w:val="0"/>
          <w:numId w:val="5"/>
        </w:numPr>
        <w:tabs>
          <w:tab w:val="left" w:pos="1418"/>
        </w:tabs>
        <w:spacing w:afterLines="50" w:line="360" w:lineRule="exact"/>
        <w:ind w:left="1418" w:hanging="709"/>
        <w:rPr>
          <w:rFonts w:ascii="楷体" w:hAnsi="楷体" w:eastAsia="楷体"/>
          <w:sz w:val="24"/>
          <w:szCs w:val="24"/>
        </w:rPr>
      </w:pPr>
      <w:r>
        <w:rPr>
          <w:rFonts w:ascii="楷体" w:hAnsi="楷体" w:eastAsia="楷体"/>
          <w:sz w:val="24"/>
          <w:szCs w:val="24"/>
        </w:rPr>
        <w:t>甲方同意在公告日后60日内，将过渡期和交接期内甲方因管理标的债权而获得的现金（如有，包括法院及仲裁机构退回给甲方及其前手的诉讼费、受理费等相关费用），在扣除本合同第6.3条约定费用后，支付给乙方。</w:t>
      </w:r>
    </w:p>
    <w:p>
      <w:pPr>
        <w:pStyle w:val="59"/>
        <w:spacing w:afterLines="50" w:line="360" w:lineRule="exact"/>
        <w:ind w:hanging="709" w:firstLineChars="0"/>
        <w:rPr>
          <w:rFonts w:ascii="楷体" w:hAnsi="楷体" w:eastAsia="楷体"/>
          <w:sz w:val="24"/>
          <w:szCs w:val="24"/>
        </w:rPr>
      </w:pPr>
      <w:bookmarkStart w:id="22" w:name="_Ref469146970"/>
      <w:r>
        <w:rPr>
          <w:rFonts w:ascii="楷体" w:hAnsi="楷体" w:eastAsia="楷体"/>
          <w:sz w:val="24"/>
          <w:szCs w:val="24"/>
        </w:rPr>
        <w:t xml:space="preserve">      5.3   甲方与中介机构签署的相关合同权利义务的转移</w:t>
      </w:r>
      <w:bookmarkEnd w:id="22"/>
    </w:p>
    <w:p>
      <w:pPr>
        <w:pStyle w:val="59"/>
        <w:spacing w:afterLines="50" w:line="360" w:lineRule="exact"/>
        <w:ind w:left="709" w:hanging="709" w:firstLineChars="0"/>
        <w:rPr>
          <w:rFonts w:ascii="楷体" w:hAnsi="楷体" w:eastAsia="楷体"/>
          <w:sz w:val="24"/>
          <w:szCs w:val="24"/>
        </w:rPr>
      </w:pPr>
      <w:bookmarkStart w:id="23" w:name="_Ref469146978"/>
      <w:r>
        <w:rPr>
          <w:rFonts w:ascii="楷体" w:hAnsi="楷体" w:eastAsia="楷体"/>
          <w:sz w:val="24"/>
          <w:szCs w:val="24"/>
        </w:rPr>
        <w:t xml:space="preserve">      如甲方及前手在基准日前与相关中介机构为管理、保全或处置标的债权而与任何中介机构签署的服务合同约定需要承继的，乙方同意无条件承继甲方及其前手签署的服务合同并受该等合同条款的约束。乙方自行负责该等服务合同的协商解约、终止事宜，并承担与该等服务合同相关的风险与责任；如需要甲方继续承担全额或部分的支付责任，或甲方被索赔，在乙方代甲方支付可行的情况下，乙方应直接代甲方支付相应款项；在乙方代付不可行的情况下，乙方应在甲方支付相关款项后</w:t>
      </w:r>
      <w:r>
        <w:rPr>
          <w:rFonts w:hint="eastAsia" w:ascii="楷体" w:hAnsi="楷体" w:eastAsia="楷体" w:cs="楷体"/>
          <w:sz w:val="24"/>
          <w:szCs w:val="24"/>
          <w:u w:val="single"/>
        </w:rPr>
        <w:t xml:space="preserve">    </w:t>
      </w:r>
      <w:r>
        <w:rPr>
          <w:rFonts w:ascii="楷体" w:hAnsi="楷体" w:eastAsia="楷体"/>
          <w:sz w:val="24"/>
          <w:szCs w:val="24"/>
        </w:rPr>
        <w:t>日内对甲方实际支付的款项给予全额补偿。</w:t>
      </w:r>
      <w:bookmarkEnd w:id="23"/>
    </w:p>
    <w:p>
      <w:pPr>
        <w:pStyle w:val="59"/>
        <w:spacing w:afterLines="50" w:line="360" w:lineRule="exact"/>
        <w:ind w:left="709" w:hanging="709" w:firstLineChars="0"/>
        <w:rPr>
          <w:rFonts w:ascii="楷体" w:hAnsi="楷体" w:eastAsia="楷体"/>
          <w:sz w:val="24"/>
          <w:szCs w:val="24"/>
        </w:rPr>
      </w:pPr>
      <w:r>
        <w:rPr>
          <w:rFonts w:ascii="楷体" w:hAnsi="楷体" w:eastAsia="楷体"/>
          <w:sz w:val="24"/>
          <w:szCs w:val="24"/>
        </w:rPr>
        <w:t>5.4   标的债权转让公告</w:t>
      </w:r>
    </w:p>
    <w:p>
      <w:pPr>
        <w:tabs>
          <w:tab w:val="left" w:pos="709"/>
        </w:tabs>
        <w:spacing w:afterLines="50" w:line="360" w:lineRule="exact"/>
        <w:ind w:left="709"/>
        <w:outlineLvl w:val="1"/>
        <w:rPr>
          <w:rFonts w:ascii="楷体" w:hAnsi="楷体" w:eastAsia="楷体"/>
          <w:b/>
          <w:bCs/>
          <w:sz w:val="24"/>
          <w:szCs w:val="24"/>
        </w:rPr>
      </w:pPr>
      <w:r>
        <w:rPr>
          <w:rFonts w:ascii="楷体" w:hAnsi="楷体" w:eastAsia="楷体"/>
          <w:sz w:val="24"/>
          <w:szCs w:val="24"/>
        </w:rPr>
        <w:t>双方确认，无论双方在交接期内是否完成标的债权文件的交付，甲方均应在权利转移日后</w:t>
      </w:r>
      <w:r>
        <w:rPr>
          <w:rFonts w:ascii="楷体" w:hAnsi="楷体" w:eastAsia="楷体" w:cs="楷体"/>
          <w:sz w:val="24"/>
          <w:szCs w:val="24"/>
        </w:rPr>
        <w:t>30</w:t>
      </w:r>
      <w:r>
        <w:rPr>
          <w:rFonts w:ascii="楷体" w:hAnsi="楷体" w:eastAsia="楷体"/>
          <w:sz w:val="24"/>
          <w:szCs w:val="24"/>
        </w:rPr>
        <w:t>日内，在全国或者省级报纸上发布标的债权转让公告，通知债务人和/或担保人。公告费用由</w:t>
      </w:r>
      <w:r>
        <w:rPr>
          <w:rFonts w:ascii="楷体" w:hAnsi="楷体" w:eastAsia="楷体" w:cs="楷体"/>
          <w:sz w:val="24"/>
          <w:szCs w:val="24"/>
        </w:rPr>
        <w:t>乙方</w:t>
      </w:r>
      <w:r>
        <w:rPr>
          <w:rFonts w:ascii="楷体" w:hAnsi="楷体" w:eastAsia="楷体"/>
          <w:sz w:val="24"/>
          <w:szCs w:val="24"/>
        </w:rPr>
        <w:t>承担。如该公告对债权催收内容不能起到中断诉讼时效的作用，甲方不承担任何责任。如乙方迟延受领标的债权文件，不影响甲方对标的债权的转让发布转让公告，由此产生的所有法律风险、费用的额外增加，均由乙方承担。</w:t>
      </w:r>
    </w:p>
    <w:p>
      <w:pPr>
        <w:numPr>
          <w:ilvl w:val="0"/>
          <w:numId w:val="2"/>
        </w:numPr>
        <w:spacing w:afterLines="50" w:line="360" w:lineRule="exact"/>
        <w:ind w:left="709" w:hanging="709"/>
        <w:outlineLvl w:val="0"/>
        <w:rPr>
          <w:rFonts w:ascii="楷体" w:hAnsi="楷体" w:eastAsia="楷体"/>
          <w:b/>
          <w:bCs/>
          <w:sz w:val="24"/>
          <w:szCs w:val="24"/>
        </w:rPr>
      </w:pPr>
      <w:bookmarkStart w:id="24" w:name="_Toc24918"/>
      <w:bookmarkStart w:id="25" w:name="_Toc533512275"/>
      <w:bookmarkStart w:id="26" w:name="_Toc31553"/>
      <w:r>
        <w:rPr>
          <w:rFonts w:ascii="楷体" w:hAnsi="楷体" w:eastAsia="楷体"/>
          <w:b/>
          <w:bCs/>
          <w:sz w:val="24"/>
          <w:szCs w:val="24"/>
        </w:rPr>
        <w:t>过渡期安排</w:t>
      </w:r>
      <w:bookmarkEnd w:id="24"/>
      <w:bookmarkEnd w:id="25"/>
      <w:bookmarkEnd w:id="26"/>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在过渡期内，甲方拥有对标的债权的自主管理、处置权，并按照下列原则管理、处置标的债权：（1）遵守国家相关法律、法规的规定；（2）遵守甲方制定的有关资产管理和处置的规定</w:t>
      </w:r>
      <w:r>
        <w:rPr>
          <w:rFonts w:hint="eastAsia" w:ascii="楷体" w:hAnsi="楷体" w:eastAsia="楷体"/>
          <w:sz w:val="24"/>
          <w:szCs w:val="24"/>
        </w:rPr>
        <w:t>；</w:t>
      </w:r>
      <w:r>
        <w:rPr>
          <w:rFonts w:ascii="楷体" w:hAnsi="楷体" w:eastAsia="楷体"/>
          <w:sz w:val="24"/>
          <w:szCs w:val="24"/>
        </w:rPr>
        <w:t>（3）</w:t>
      </w:r>
      <w:r>
        <w:rPr>
          <w:rFonts w:hint="eastAsia" w:ascii="楷体" w:hAnsi="楷体" w:eastAsia="楷体"/>
          <w:sz w:val="24"/>
          <w:szCs w:val="24"/>
        </w:rPr>
        <w:t>遵守本协议的约定。</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在过渡期内，甲方应对标的债权涉及相应诉讼时效和/或法定期间进行维护，但代位权和撤销权的行使除外。如标的债权在基准日之前已经超过诉讼时效和/或法定期间，则不属于甲方维护的范围。</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在过渡期内，甲方因管理处置和维护标的债权而产生的相关费用由乙方承担，甲方应提供相关费用的有效证明（复印件）。该费用由甲方按本合同第5.2条的约定在回收现金中直接予以扣除，但无现金回收或现金少于费用的，乙方应按甲方的通知支付相应费用，否则，每迟延一日，应向甲方支付应付未付款项的万分之五作为违约金。</w:t>
      </w:r>
    </w:p>
    <w:p>
      <w:pPr>
        <w:numPr>
          <w:ilvl w:val="0"/>
          <w:numId w:val="2"/>
        </w:numPr>
        <w:spacing w:afterLines="50" w:line="360" w:lineRule="exact"/>
        <w:ind w:left="709" w:hanging="709"/>
        <w:outlineLvl w:val="0"/>
        <w:rPr>
          <w:rFonts w:ascii="楷体" w:hAnsi="楷体" w:eastAsia="楷体"/>
          <w:b/>
          <w:bCs/>
          <w:sz w:val="24"/>
          <w:szCs w:val="24"/>
        </w:rPr>
      </w:pPr>
      <w:bookmarkStart w:id="27" w:name="_Toc23117"/>
      <w:bookmarkStart w:id="28" w:name="_Toc494284909"/>
      <w:bookmarkStart w:id="29" w:name="_Toc533512276"/>
      <w:bookmarkStart w:id="30" w:name="_Toc494225883"/>
      <w:bookmarkStart w:id="31" w:name="_Toc16335"/>
      <w:r>
        <w:rPr>
          <w:rFonts w:ascii="楷体" w:hAnsi="楷体" w:eastAsia="楷体"/>
          <w:b/>
          <w:bCs/>
          <w:sz w:val="24"/>
          <w:szCs w:val="24"/>
        </w:rPr>
        <w:t>税费承担</w:t>
      </w:r>
      <w:bookmarkEnd w:id="27"/>
      <w:bookmarkEnd w:id="28"/>
      <w:bookmarkEnd w:id="29"/>
      <w:bookmarkEnd w:id="30"/>
      <w:bookmarkEnd w:id="31"/>
    </w:p>
    <w:p>
      <w:pPr>
        <w:spacing w:afterLines="50" w:line="360" w:lineRule="exact"/>
        <w:ind w:left="709"/>
        <w:outlineLvl w:val="1"/>
        <w:rPr>
          <w:rFonts w:ascii="楷体" w:hAnsi="楷体" w:eastAsia="楷体"/>
          <w:sz w:val="24"/>
          <w:szCs w:val="24"/>
        </w:rPr>
      </w:pPr>
      <w:r>
        <w:rPr>
          <w:rFonts w:ascii="楷体" w:hAnsi="楷体" w:eastAsia="楷体"/>
          <w:sz w:val="24"/>
          <w:szCs w:val="24"/>
        </w:rPr>
        <w:t>双方根据法律、法规规定各自承担因签署、履行本合同所产生的税费。但如存在抵债资产或其他需要过户的资产，甲方不承担资产过户的任何税费。</w:t>
      </w:r>
    </w:p>
    <w:p>
      <w:pPr>
        <w:numPr>
          <w:ilvl w:val="0"/>
          <w:numId w:val="2"/>
        </w:numPr>
        <w:spacing w:afterLines="50" w:line="360" w:lineRule="exact"/>
        <w:ind w:left="709" w:hanging="709"/>
        <w:outlineLvl w:val="0"/>
        <w:rPr>
          <w:rFonts w:ascii="楷体" w:hAnsi="楷体" w:eastAsia="楷体"/>
          <w:b/>
          <w:bCs/>
          <w:sz w:val="24"/>
          <w:szCs w:val="24"/>
        </w:rPr>
      </w:pPr>
      <w:bookmarkStart w:id="32" w:name="_Toc533512277"/>
      <w:bookmarkStart w:id="33" w:name="_Toc494225884"/>
      <w:bookmarkStart w:id="34" w:name="_Toc494284910"/>
      <w:bookmarkStart w:id="35" w:name="_Toc772"/>
      <w:bookmarkStart w:id="36" w:name="_Ref469155387"/>
      <w:bookmarkStart w:id="37" w:name="_Toc20968"/>
      <w:r>
        <w:rPr>
          <w:rFonts w:ascii="楷体" w:hAnsi="楷体" w:eastAsia="楷体"/>
          <w:b/>
          <w:bCs/>
          <w:sz w:val="24"/>
          <w:szCs w:val="24"/>
        </w:rPr>
        <w:t>声明和保证</w:t>
      </w:r>
      <w:bookmarkEnd w:id="32"/>
      <w:bookmarkEnd w:id="33"/>
      <w:bookmarkEnd w:id="34"/>
      <w:bookmarkEnd w:id="35"/>
      <w:bookmarkEnd w:id="36"/>
      <w:bookmarkEnd w:id="37"/>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甲方的声明和保证</w:t>
      </w:r>
    </w:p>
    <w:p>
      <w:pPr>
        <w:spacing w:afterLines="50" w:line="360" w:lineRule="exact"/>
        <w:ind w:left="709"/>
        <w:outlineLvl w:val="1"/>
        <w:rPr>
          <w:rFonts w:ascii="楷体" w:hAnsi="楷体" w:eastAsia="楷体"/>
          <w:sz w:val="24"/>
          <w:szCs w:val="24"/>
        </w:rPr>
      </w:pPr>
      <w:r>
        <w:rPr>
          <w:rFonts w:ascii="楷体" w:hAnsi="楷体" w:eastAsia="楷体"/>
          <w:sz w:val="24"/>
          <w:szCs w:val="24"/>
        </w:rPr>
        <w:t>甲方特此向乙方作出下述声明和保证，下述各项声明和保证均为真实、准确及充分：</w:t>
      </w:r>
    </w:p>
    <w:p>
      <w:pPr>
        <w:numPr>
          <w:ilvl w:val="0"/>
          <w:numId w:val="6"/>
        </w:numPr>
        <w:tabs>
          <w:tab w:val="left" w:pos="1418"/>
        </w:tabs>
        <w:spacing w:afterLines="50" w:line="360" w:lineRule="exact"/>
        <w:ind w:left="1418" w:hanging="709"/>
        <w:rPr>
          <w:rFonts w:ascii="楷体" w:hAnsi="楷体" w:eastAsia="楷体"/>
          <w:sz w:val="24"/>
          <w:szCs w:val="24"/>
        </w:rPr>
      </w:pPr>
      <w:r>
        <w:rPr>
          <w:rFonts w:ascii="楷体" w:hAnsi="楷体" w:eastAsia="楷体"/>
          <w:sz w:val="24"/>
          <w:szCs w:val="24"/>
        </w:rPr>
        <w:t>甲方具备合法的资格和权利签署本合同，并已获得一切必要的授权，接受本合同的条款和条件。</w:t>
      </w:r>
    </w:p>
    <w:p>
      <w:pPr>
        <w:numPr>
          <w:ilvl w:val="0"/>
          <w:numId w:val="6"/>
        </w:numPr>
        <w:tabs>
          <w:tab w:val="left" w:pos="1418"/>
        </w:tabs>
        <w:spacing w:afterLines="50" w:line="360" w:lineRule="exact"/>
        <w:ind w:left="1418" w:hanging="709"/>
        <w:rPr>
          <w:rFonts w:ascii="楷体" w:hAnsi="楷体" w:eastAsia="楷体"/>
          <w:sz w:val="24"/>
          <w:szCs w:val="24"/>
        </w:rPr>
      </w:pPr>
      <w:r>
        <w:rPr>
          <w:rFonts w:ascii="楷体" w:hAnsi="楷体" w:eastAsia="楷体"/>
          <w:sz w:val="24"/>
          <w:szCs w:val="24"/>
        </w:rPr>
        <w:t>甲方签订并履行本合同：（a）不违反或抵触适用于甲方的任何中国法律；（b）不违反甲方的公司章程或其他组织性文件；（c）不与由其签订的任何已生效的合同规定的义务相冲突。</w:t>
      </w:r>
    </w:p>
    <w:p>
      <w:pPr>
        <w:numPr>
          <w:ilvl w:val="0"/>
          <w:numId w:val="6"/>
        </w:numPr>
        <w:tabs>
          <w:tab w:val="left" w:pos="1418"/>
        </w:tabs>
        <w:spacing w:afterLines="50" w:line="360" w:lineRule="exact"/>
        <w:ind w:left="1418" w:hanging="709"/>
        <w:rPr>
          <w:rFonts w:ascii="楷体" w:hAnsi="楷体" w:eastAsia="楷体"/>
          <w:sz w:val="24"/>
          <w:szCs w:val="24"/>
        </w:rPr>
      </w:pPr>
      <w:r>
        <w:rPr>
          <w:rFonts w:ascii="楷体" w:hAnsi="楷体" w:eastAsia="楷体"/>
          <w:sz w:val="24"/>
          <w:szCs w:val="24"/>
        </w:rPr>
        <w:t>甲方为签署、履行本合同而向乙方提供的所有证明、文件、资料和信息，均由甲方合法获得并如实、准确、完整提供。</w:t>
      </w:r>
    </w:p>
    <w:p>
      <w:pPr>
        <w:numPr>
          <w:ilvl w:val="0"/>
          <w:numId w:val="6"/>
        </w:numPr>
        <w:tabs>
          <w:tab w:val="left" w:pos="1418"/>
        </w:tabs>
        <w:spacing w:afterLines="50" w:line="360" w:lineRule="exact"/>
        <w:ind w:left="1418" w:hanging="709"/>
        <w:rPr>
          <w:rFonts w:ascii="楷体" w:hAnsi="楷体" w:eastAsia="楷体"/>
          <w:sz w:val="24"/>
          <w:szCs w:val="24"/>
        </w:rPr>
      </w:pPr>
      <w:bookmarkStart w:id="38" w:name="_Toc1603"/>
      <w:bookmarkStart w:id="39" w:name="_Toc1342"/>
      <w:bookmarkStart w:id="40" w:name="_Toc494284911"/>
      <w:bookmarkStart w:id="41" w:name="_Toc533512278"/>
      <w:bookmarkStart w:id="42" w:name="_Toc494225885"/>
      <w:r>
        <w:rPr>
          <w:rFonts w:hint="default" w:ascii="楷体" w:hAnsi="楷体" w:eastAsia="楷体"/>
          <w:sz w:val="24"/>
          <w:szCs w:val="24"/>
        </w:rPr>
        <w:t>甲方承诺，在本协议正常履行期间，</w:t>
      </w:r>
      <w:r>
        <w:rPr>
          <w:rFonts w:hint="eastAsia" w:ascii="楷体" w:hAnsi="楷体" w:eastAsia="楷体"/>
          <w:sz w:val="24"/>
          <w:szCs w:val="24"/>
          <w:lang w:val="en-US" w:eastAsia="zh-CN"/>
        </w:rPr>
        <w:t>甲方若</w:t>
      </w:r>
      <w:r>
        <w:rPr>
          <w:rFonts w:hint="default" w:ascii="楷体" w:hAnsi="楷体" w:eastAsia="楷体"/>
          <w:sz w:val="24"/>
          <w:szCs w:val="24"/>
        </w:rPr>
        <w:t>采用</w:t>
      </w:r>
      <w:r>
        <w:rPr>
          <w:rFonts w:hint="eastAsia" w:ascii="楷体" w:hAnsi="楷体" w:eastAsia="楷体"/>
          <w:sz w:val="24"/>
          <w:szCs w:val="24"/>
          <w:lang w:val="en-US" w:eastAsia="zh-CN"/>
        </w:rPr>
        <w:t>诉讼、仲裁等司法手段</w:t>
      </w:r>
      <w:r>
        <w:rPr>
          <w:rFonts w:hint="default" w:ascii="楷体" w:hAnsi="楷体" w:eastAsia="楷体"/>
          <w:sz w:val="24"/>
          <w:szCs w:val="24"/>
        </w:rPr>
        <w:t>向此次转让债权涉及的各方债务人、保证人、抵押担保人主张权利</w:t>
      </w:r>
      <w:r>
        <w:rPr>
          <w:rFonts w:hint="eastAsia" w:ascii="楷体" w:hAnsi="楷体" w:eastAsia="楷体"/>
          <w:sz w:val="24"/>
          <w:szCs w:val="24"/>
          <w:lang w:val="en-US" w:eastAsia="zh-CN"/>
        </w:rPr>
        <w:t>的，其应征得乙方同意</w:t>
      </w:r>
      <w:r>
        <w:rPr>
          <w:rFonts w:hint="default" w:ascii="楷体" w:hAnsi="楷体" w:eastAsia="楷体"/>
          <w:sz w:val="24"/>
          <w:szCs w:val="24"/>
        </w:rPr>
        <w:t>，否则</w:t>
      </w:r>
      <w:r>
        <w:rPr>
          <w:rFonts w:hint="eastAsia" w:ascii="楷体" w:hAnsi="楷体" w:eastAsia="楷体"/>
          <w:sz w:val="24"/>
          <w:szCs w:val="24"/>
          <w:lang w:val="en-US" w:eastAsia="zh-CN"/>
        </w:rPr>
        <w:t>则</w:t>
      </w:r>
      <w:r>
        <w:rPr>
          <w:rFonts w:hint="default" w:ascii="楷体" w:hAnsi="楷体" w:eastAsia="楷体"/>
          <w:sz w:val="24"/>
          <w:szCs w:val="24"/>
        </w:rPr>
        <w:t>构成</w:t>
      </w:r>
      <w:r>
        <w:rPr>
          <w:rFonts w:hint="eastAsia" w:ascii="楷体" w:hAnsi="楷体" w:eastAsia="楷体"/>
          <w:sz w:val="24"/>
          <w:szCs w:val="24"/>
          <w:lang w:val="en-US" w:eastAsia="zh-CN"/>
        </w:rPr>
        <w:t>甲方</w:t>
      </w:r>
      <w:r>
        <w:rPr>
          <w:rFonts w:hint="default" w:ascii="楷体" w:hAnsi="楷体" w:eastAsia="楷体"/>
          <w:sz w:val="24"/>
          <w:szCs w:val="24"/>
        </w:rPr>
        <w:t>违约。</w:t>
      </w:r>
    </w:p>
    <w:p>
      <w:pPr>
        <w:numPr>
          <w:ilvl w:val="0"/>
          <w:numId w:val="2"/>
        </w:numPr>
        <w:spacing w:afterLines="50" w:line="360" w:lineRule="exact"/>
        <w:ind w:left="709" w:hanging="709"/>
        <w:outlineLvl w:val="0"/>
        <w:rPr>
          <w:rFonts w:ascii="楷体" w:hAnsi="楷体" w:eastAsia="楷体"/>
          <w:b/>
          <w:sz w:val="24"/>
          <w:szCs w:val="24"/>
        </w:rPr>
      </w:pPr>
      <w:r>
        <w:rPr>
          <w:rFonts w:ascii="楷体" w:hAnsi="楷体" w:eastAsia="楷体"/>
          <w:b/>
          <w:sz w:val="24"/>
          <w:szCs w:val="24"/>
        </w:rPr>
        <w:t>乙方的声明和保证</w:t>
      </w:r>
      <w:bookmarkEnd w:id="38"/>
      <w:bookmarkEnd w:id="39"/>
      <w:bookmarkEnd w:id="40"/>
      <w:bookmarkEnd w:id="41"/>
      <w:bookmarkEnd w:id="42"/>
    </w:p>
    <w:p>
      <w:pPr>
        <w:spacing w:afterLines="50" w:line="360" w:lineRule="exact"/>
        <w:ind w:left="709"/>
        <w:outlineLvl w:val="1"/>
        <w:rPr>
          <w:rFonts w:ascii="楷体" w:hAnsi="楷体" w:eastAsia="楷体"/>
          <w:sz w:val="24"/>
          <w:szCs w:val="24"/>
        </w:rPr>
      </w:pPr>
      <w:r>
        <w:rPr>
          <w:rFonts w:ascii="楷体" w:hAnsi="楷体" w:eastAsia="楷体"/>
          <w:sz w:val="24"/>
          <w:szCs w:val="24"/>
        </w:rPr>
        <w:t>乙方特此向甲方作出下述声明和保证，下述各项声明和保证均为真实和准确：</w:t>
      </w:r>
    </w:p>
    <w:p>
      <w:pPr>
        <w:numPr>
          <w:ilvl w:val="1"/>
          <w:numId w:val="2"/>
        </w:numPr>
        <w:tabs>
          <w:tab w:val="left" w:pos="1418"/>
        </w:tabs>
        <w:spacing w:afterLines="50" w:line="360" w:lineRule="exact"/>
        <w:ind w:left="709" w:hanging="709"/>
        <w:outlineLvl w:val="1"/>
        <w:rPr>
          <w:rFonts w:ascii="楷体" w:hAnsi="楷体" w:eastAsia="楷体"/>
          <w:sz w:val="24"/>
          <w:szCs w:val="24"/>
        </w:rPr>
      </w:pPr>
      <w:r>
        <w:rPr>
          <w:rFonts w:ascii="楷体" w:hAnsi="楷体" w:eastAsia="楷体"/>
          <w:sz w:val="24"/>
          <w:szCs w:val="24"/>
        </w:rPr>
        <w:t>乙方保证具有签署本合同的主体资格、有权受让标的债权、已获得签署和履行本合同的相应授权或批准。乙方承诺不属于国家公务员、金融监管机构工作人员、政法干警、资产公司工作人员、国企债务人管理人员、参与资产处置工作的律师、会计师、评估师等中介机构人员等关联人或者上述关联人参与的非金融机构法人；不属于与参与不良债权转让的资产公司工作人员、国企债务人或者受托资产评估机构负责人员等有近亲属关系的人员;不属于失信被执行人或失信被执行人的法定代表人、主要负责人、影响债务履行的直接责任人员、实际控制人；不属于标的债权所涉及的债务人和担保人；不属于反恐、反洗钱黑名单人员；不属于其他依据法律法规不得收购、受让标的债权的主体。</w:t>
      </w:r>
    </w:p>
    <w:p>
      <w:pPr>
        <w:numPr>
          <w:ilvl w:val="1"/>
          <w:numId w:val="2"/>
        </w:numPr>
        <w:tabs>
          <w:tab w:val="left" w:pos="1418"/>
        </w:tabs>
        <w:spacing w:afterLines="50" w:line="360" w:lineRule="exact"/>
        <w:ind w:left="709" w:hanging="709"/>
        <w:outlineLvl w:val="1"/>
        <w:rPr>
          <w:rFonts w:ascii="楷体" w:hAnsi="楷体" w:eastAsia="楷体"/>
          <w:sz w:val="24"/>
          <w:szCs w:val="24"/>
        </w:rPr>
      </w:pPr>
      <w:r>
        <w:rPr>
          <w:rFonts w:ascii="楷体" w:hAnsi="楷体" w:eastAsia="楷体"/>
          <w:sz w:val="24"/>
          <w:szCs w:val="24"/>
        </w:rPr>
        <w:t>乙方签订并履行本合同：（a）不违反或抵触适用于乙方的任何中国法律；（b）不违反乙方的公司章程、其他组织性文件或决议决定；（c）不与由其签订的任何已生效的合同规定的义务相冲突。</w:t>
      </w:r>
    </w:p>
    <w:p>
      <w:pPr>
        <w:numPr>
          <w:ilvl w:val="1"/>
          <w:numId w:val="2"/>
        </w:numPr>
        <w:tabs>
          <w:tab w:val="left" w:pos="1418"/>
        </w:tabs>
        <w:spacing w:afterLines="50" w:line="360" w:lineRule="exact"/>
        <w:ind w:left="709" w:hanging="709"/>
        <w:outlineLvl w:val="1"/>
        <w:rPr>
          <w:rFonts w:ascii="楷体" w:hAnsi="楷体" w:eastAsia="楷体"/>
          <w:sz w:val="24"/>
          <w:szCs w:val="24"/>
        </w:rPr>
      </w:pPr>
      <w:r>
        <w:rPr>
          <w:rFonts w:ascii="楷体" w:hAnsi="楷体" w:eastAsia="楷体"/>
          <w:sz w:val="24"/>
          <w:szCs w:val="24"/>
        </w:rPr>
        <w:t>乙方保证其为签署、履行本合同而向甲方提供的所有证明、文件、资料和信息，均在提供资料的当日和适用/使用期内是真实、准确和完整的，不存在故意隐瞒和欺骗的情况。</w:t>
      </w:r>
    </w:p>
    <w:p>
      <w:pPr>
        <w:numPr>
          <w:ilvl w:val="1"/>
          <w:numId w:val="2"/>
        </w:numPr>
        <w:tabs>
          <w:tab w:val="left" w:pos="1418"/>
        </w:tabs>
        <w:spacing w:afterLines="50" w:line="360" w:lineRule="exact"/>
        <w:ind w:left="709" w:hanging="709"/>
        <w:outlineLvl w:val="1"/>
        <w:rPr>
          <w:rFonts w:ascii="楷体" w:hAnsi="楷体" w:eastAsia="楷体"/>
          <w:sz w:val="24"/>
          <w:szCs w:val="24"/>
        </w:rPr>
      </w:pPr>
      <w:r>
        <w:rPr>
          <w:rFonts w:ascii="楷体" w:hAnsi="楷体" w:eastAsia="楷体"/>
          <w:sz w:val="24"/>
          <w:szCs w:val="24"/>
        </w:rPr>
        <w:t>乙方确认，基于标的债权的特殊性，甲方就标的债权只进行现状出售，乙方独立判断标的债权法律上的有效性和商业价值。乙方在参与竞买标的债权前，已经认真审阅了截至基准日的标的债权文件，对标的债权的现状进行了审慎的调查，乙方完全知悉并接受标的债权的所有风险、瑕疵。</w:t>
      </w:r>
    </w:p>
    <w:p>
      <w:pPr>
        <w:numPr>
          <w:ilvl w:val="0"/>
          <w:numId w:val="2"/>
        </w:numPr>
        <w:spacing w:afterLines="50" w:line="360" w:lineRule="exact"/>
        <w:ind w:left="709" w:hanging="709"/>
        <w:outlineLvl w:val="0"/>
        <w:rPr>
          <w:rFonts w:ascii="楷体" w:hAnsi="楷体" w:eastAsia="楷体"/>
          <w:b/>
          <w:bCs/>
          <w:sz w:val="24"/>
          <w:szCs w:val="24"/>
        </w:rPr>
      </w:pPr>
      <w:bookmarkStart w:id="43" w:name="_Toc494284913"/>
      <w:bookmarkStart w:id="44" w:name="_Toc494225887"/>
      <w:bookmarkStart w:id="45" w:name="_Ref494182272"/>
      <w:bookmarkStart w:id="46" w:name="_Ref494187021"/>
      <w:bookmarkStart w:id="47" w:name="_Toc24480"/>
      <w:bookmarkStart w:id="48" w:name="_Toc533512279"/>
      <w:bookmarkStart w:id="49" w:name="_Toc4014"/>
      <w:r>
        <w:rPr>
          <w:rFonts w:ascii="楷体" w:hAnsi="楷体" w:eastAsia="楷体"/>
          <w:b/>
          <w:bCs/>
          <w:sz w:val="24"/>
          <w:szCs w:val="24"/>
        </w:rPr>
        <w:t>违约责任</w:t>
      </w:r>
      <w:bookmarkEnd w:id="43"/>
      <w:bookmarkEnd w:id="44"/>
      <w:bookmarkEnd w:id="45"/>
      <w:bookmarkEnd w:id="46"/>
      <w:bookmarkEnd w:id="47"/>
      <w:bookmarkEnd w:id="48"/>
      <w:bookmarkEnd w:id="49"/>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 xml:space="preserve">甲方的违约责任 </w:t>
      </w:r>
    </w:p>
    <w:p>
      <w:pPr>
        <w:spacing w:afterLines="50" w:line="360" w:lineRule="exact"/>
        <w:ind w:left="665" w:hanging="664" w:hangingChars="277"/>
        <w:outlineLvl w:val="1"/>
        <w:rPr>
          <w:rFonts w:ascii="楷体" w:hAnsi="楷体" w:eastAsia="楷体"/>
          <w:sz w:val="24"/>
          <w:szCs w:val="24"/>
        </w:rPr>
      </w:pPr>
      <w:r>
        <w:rPr>
          <w:rFonts w:ascii="楷体" w:hAnsi="楷体" w:eastAsia="楷体"/>
          <w:sz w:val="24"/>
          <w:szCs w:val="24"/>
        </w:rPr>
        <w:t xml:space="preserve">      在乙方没有任何违约情形的前提下，如果甲方违反本合同约定导致乙方不能行使主要权利，给乙方造成损失的，甲方应赔偿乙方的实际损失。</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乙方的违约责任</w:t>
      </w:r>
    </w:p>
    <w:p>
      <w:pPr>
        <w:numPr>
          <w:ilvl w:val="0"/>
          <w:numId w:val="7"/>
        </w:numPr>
        <w:tabs>
          <w:tab w:val="left" w:pos="1701"/>
        </w:tabs>
        <w:spacing w:afterLines="50" w:line="360" w:lineRule="exact"/>
        <w:ind w:left="1701" w:hanging="993"/>
        <w:outlineLvl w:val="1"/>
        <w:rPr>
          <w:rFonts w:ascii="楷体" w:hAnsi="楷体" w:eastAsia="楷体"/>
          <w:sz w:val="24"/>
          <w:szCs w:val="24"/>
        </w:rPr>
      </w:pPr>
      <w:r>
        <w:rPr>
          <w:rFonts w:ascii="楷体" w:hAnsi="楷体" w:eastAsia="楷体"/>
          <w:sz w:val="24"/>
          <w:szCs w:val="24"/>
        </w:rPr>
        <w:t>如乙方未能按时足额支付相应款项或违反除付款义务外的其他义务、声明、保证或承诺，甲方有权选择单独或同时行使下列一项或多项权利，乙方应无条件承担相应违约责任：</w:t>
      </w:r>
    </w:p>
    <w:p>
      <w:pPr>
        <w:numPr>
          <w:ilvl w:val="1"/>
          <w:numId w:val="8"/>
        </w:numPr>
        <w:tabs>
          <w:tab w:val="left" w:pos="1701"/>
        </w:tabs>
        <w:spacing w:afterLines="50" w:line="360" w:lineRule="exact"/>
        <w:ind w:left="1699" w:leftChars="742" w:hanging="141" w:hangingChars="59"/>
        <w:outlineLvl w:val="1"/>
        <w:rPr>
          <w:rFonts w:ascii="楷体" w:hAnsi="楷体" w:eastAsia="楷体"/>
          <w:sz w:val="24"/>
          <w:szCs w:val="24"/>
        </w:rPr>
      </w:pPr>
      <w:r>
        <w:rPr>
          <w:rFonts w:ascii="楷体" w:hAnsi="楷体" w:eastAsia="楷体"/>
          <w:sz w:val="24"/>
          <w:szCs w:val="24"/>
        </w:rPr>
        <w:t>没收乙方就标的债权已缴纳的竞价保证金</w:t>
      </w:r>
      <w:r>
        <w:rPr>
          <w:rFonts w:hint="eastAsia" w:ascii="楷体" w:hAnsi="楷体" w:eastAsia="楷体"/>
          <w:sz w:val="24"/>
          <w:szCs w:val="24"/>
        </w:rPr>
        <w:t>；</w:t>
      </w:r>
    </w:p>
    <w:p>
      <w:pPr>
        <w:numPr>
          <w:ilvl w:val="1"/>
          <w:numId w:val="8"/>
        </w:numPr>
        <w:tabs>
          <w:tab w:val="left" w:pos="1701"/>
        </w:tabs>
        <w:spacing w:afterLines="50" w:line="360" w:lineRule="exact"/>
        <w:ind w:left="1699" w:leftChars="742" w:hanging="141" w:hangingChars="59"/>
        <w:outlineLvl w:val="1"/>
        <w:rPr>
          <w:rFonts w:ascii="楷体" w:hAnsi="楷体" w:eastAsia="楷体"/>
          <w:sz w:val="24"/>
          <w:szCs w:val="24"/>
        </w:rPr>
      </w:pPr>
      <w:r>
        <w:rPr>
          <w:rFonts w:hint="eastAsia" w:ascii="楷体" w:hAnsi="楷体" w:eastAsia="楷体"/>
          <w:sz w:val="24"/>
          <w:szCs w:val="24"/>
        </w:rPr>
        <w:t>甲方可</w:t>
      </w:r>
      <w:r>
        <w:rPr>
          <w:rFonts w:ascii="楷体" w:hAnsi="楷体" w:eastAsia="楷体"/>
          <w:sz w:val="24"/>
          <w:szCs w:val="24"/>
        </w:rPr>
        <w:t>要求乙方就应付未付款</w:t>
      </w:r>
      <w:r>
        <w:rPr>
          <w:rFonts w:hint="eastAsia" w:ascii="楷体" w:hAnsi="楷体" w:eastAsia="楷体"/>
          <w:sz w:val="24"/>
          <w:szCs w:val="24"/>
        </w:rPr>
        <w:t>项</w:t>
      </w:r>
      <w:r>
        <w:rPr>
          <w:rFonts w:ascii="楷体" w:hAnsi="楷体" w:eastAsia="楷体"/>
          <w:sz w:val="24"/>
          <w:szCs w:val="24"/>
        </w:rPr>
        <w:t>按每日万分之</w:t>
      </w:r>
      <w:r>
        <w:rPr>
          <w:rFonts w:hint="eastAsia" w:ascii="楷体" w:hAnsi="楷体" w:eastAsia="楷体"/>
          <w:sz w:val="24"/>
          <w:szCs w:val="24"/>
        </w:rPr>
        <w:t>四</w:t>
      </w:r>
      <w:r>
        <w:rPr>
          <w:rFonts w:ascii="楷体" w:hAnsi="楷体" w:eastAsia="楷体"/>
          <w:sz w:val="24"/>
          <w:szCs w:val="24"/>
        </w:rPr>
        <w:t>支付违约金</w:t>
      </w:r>
      <w:r>
        <w:rPr>
          <w:rFonts w:hint="eastAsia" w:ascii="楷体" w:hAnsi="楷体" w:eastAsia="楷体"/>
          <w:sz w:val="24"/>
          <w:szCs w:val="24"/>
        </w:rPr>
        <w:t>；</w:t>
      </w:r>
    </w:p>
    <w:p>
      <w:pPr>
        <w:numPr>
          <w:ilvl w:val="1"/>
          <w:numId w:val="8"/>
        </w:numPr>
        <w:tabs>
          <w:tab w:val="left" w:pos="1701"/>
        </w:tabs>
        <w:spacing w:afterLines="50" w:line="360" w:lineRule="exact"/>
        <w:ind w:left="1699" w:leftChars="742" w:hanging="141" w:hangingChars="59"/>
        <w:outlineLvl w:val="1"/>
        <w:rPr>
          <w:rFonts w:ascii="楷体" w:hAnsi="楷体" w:eastAsia="楷体"/>
          <w:sz w:val="24"/>
          <w:szCs w:val="24"/>
          <w:highlight w:val="none"/>
        </w:rPr>
      </w:pPr>
      <w:r>
        <w:rPr>
          <w:rFonts w:hint="eastAsia" w:ascii="楷体" w:hAnsi="楷体" w:eastAsia="楷体"/>
          <w:sz w:val="24"/>
          <w:szCs w:val="24"/>
          <w:highlight w:val="none"/>
        </w:rPr>
        <w:t>甲方可</w:t>
      </w:r>
      <w:r>
        <w:rPr>
          <w:rFonts w:ascii="楷体" w:hAnsi="楷体" w:eastAsia="楷体"/>
          <w:sz w:val="24"/>
          <w:szCs w:val="24"/>
          <w:highlight w:val="none"/>
        </w:rPr>
        <w:t>要求乙方继续履行本合同并采取补救措施；</w:t>
      </w:r>
    </w:p>
    <w:p>
      <w:pPr>
        <w:numPr>
          <w:ilvl w:val="1"/>
          <w:numId w:val="8"/>
        </w:numPr>
        <w:tabs>
          <w:tab w:val="left" w:pos="1701"/>
        </w:tabs>
        <w:spacing w:afterLines="50" w:line="360" w:lineRule="exact"/>
        <w:ind w:left="1699" w:leftChars="742" w:hanging="141" w:hangingChars="59"/>
        <w:outlineLvl w:val="1"/>
        <w:rPr>
          <w:highlight w:val="none"/>
        </w:rPr>
      </w:pPr>
      <w:r>
        <w:rPr>
          <w:rFonts w:hint="eastAsia" w:ascii="楷体" w:hAnsi="楷体" w:eastAsia="楷体"/>
          <w:sz w:val="24"/>
          <w:szCs w:val="24"/>
          <w:highlight w:val="none"/>
        </w:rPr>
        <w:t>甲方可</w:t>
      </w:r>
      <w:r>
        <w:rPr>
          <w:rFonts w:ascii="楷体" w:hAnsi="楷体" w:eastAsia="楷体"/>
          <w:sz w:val="24"/>
          <w:szCs w:val="24"/>
          <w:highlight w:val="none"/>
        </w:rPr>
        <w:t>单方面解除本合同</w:t>
      </w:r>
      <w:r>
        <w:rPr>
          <w:rFonts w:hint="eastAsia" w:ascii="楷体" w:hAnsi="楷体" w:eastAsia="楷体"/>
          <w:sz w:val="24"/>
          <w:szCs w:val="24"/>
          <w:highlight w:val="none"/>
        </w:rPr>
        <w:t>。甲方选择解除合同的，乙方应自解除通知书到达之日起15日内（或解除通知书指定的日期）将本合同范围内已取得的债权资料及相关权益返还给甲方，尚未办理移交过户的债权视为未曾转让，甲方有权另行处置；甲方有权没收乙方已付价款（包括并不限于转让价款、保证金、</w:t>
      </w:r>
      <w:r>
        <w:rPr>
          <w:rFonts w:hint="eastAsia" w:ascii="楷体" w:hAnsi="楷体" w:eastAsia="楷体"/>
          <w:sz w:val="24"/>
          <w:szCs w:val="24"/>
          <w:highlight w:val="none"/>
          <w:lang w:eastAsia="zh-CN"/>
        </w:rPr>
        <w:t>补充价款</w:t>
      </w:r>
      <w:r>
        <w:rPr>
          <w:rFonts w:hint="eastAsia" w:ascii="楷体" w:hAnsi="楷体" w:eastAsia="楷体"/>
          <w:sz w:val="24"/>
          <w:szCs w:val="24"/>
          <w:highlight w:val="none"/>
        </w:rPr>
        <w:t>等）用以冲抵甲方实际损失、不足部分甲方有权继续向乙方追偿；且甲方有权要求乙方支付违约金，违约金金额为转让价款的30%。</w:t>
      </w:r>
    </w:p>
    <w:p>
      <w:pPr>
        <w:numPr>
          <w:ilvl w:val="0"/>
          <w:numId w:val="7"/>
        </w:numPr>
        <w:tabs>
          <w:tab w:val="left" w:pos="1701"/>
        </w:tabs>
        <w:spacing w:afterLines="50" w:line="360" w:lineRule="exact"/>
        <w:ind w:left="1701" w:hanging="993"/>
        <w:outlineLvl w:val="1"/>
        <w:rPr>
          <w:rFonts w:ascii="楷体" w:hAnsi="楷体" w:eastAsia="楷体"/>
          <w:sz w:val="24"/>
          <w:szCs w:val="24"/>
        </w:rPr>
      </w:pPr>
      <w:r>
        <w:rPr>
          <w:rFonts w:ascii="楷体" w:hAnsi="楷体" w:eastAsia="楷体"/>
          <w:sz w:val="24"/>
          <w:szCs w:val="24"/>
        </w:rPr>
        <w:t>甲方依据上述</w:t>
      </w:r>
      <w:r>
        <w:rPr>
          <w:rFonts w:hint="eastAsia" w:ascii="楷体" w:hAnsi="楷体" w:eastAsia="楷体"/>
          <w:sz w:val="24"/>
          <w:szCs w:val="24"/>
        </w:rPr>
        <w:t>第</w:t>
      </w:r>
      <w:r>
        <w:rPr>
          <w:rFonts w:ascii="楷体" w:hAnsi="楷体" w:eastAsia="楷体"/>
          <w:sz w:val="24"/>
          <w:szCs w:val="24"/>
        </w:rPr>
        <w:t>10.2.1项解除本合同的，如甲方已将标的债权转让事宜通知义务人的，乙方需通知义务人标的债权已转回甲方。如甲方再行处置本合同项下债权的，乙方应支付再行处置所产生的费用；如再行处置成交金额低于本合同项下约定转让价款的，甲方有权向乙方追索该部分差价。</w:t>
      </w:r>
    </w:p>
    <w:p>
      <w:pPr>
        <w:pStyle w:val="19"/>
        <w:numPr>
          <w:ilvl w:val="0"/>
          <w:numId w:val="2"/>
        </w:numPr>
        <w:adjustRightInd w:val="0"/>
        <w:snapToGrid w:val="0"/>
        <w:spacing w:beforeLines="0" w:afterLines="50" w:line="360" w:lineRule="exact"/>
        <w:ind w:left="709" w:hanging="709" w:firstLineChars="0"/>
        <w:outlineLvl w:val="0"/>
        <w:rPr>
          <w:rFonts w:ascii="楷体" w:hAnsi="楷体" w:eastAsia="楷体"/>
        </w:rPr>
      </w:pPr>
      <w:bookmarkStart w:id="50" w:name="_Toc3242"/>
      <w:bookmarkStart w:id="51" w:name="_Toc494284914"/>
      <w:bookmarkStart w:id="52" w:name="_Toc533512280"/>
      <w:bookmarkStart w:id="53" w:name="_Toc27322"/>
      <w:bookmarkStart w:id="54" w:name="_Toc494225888"/>
      <w:bookmarkStart w:id="55" w:name="_Toc467427788"/>
      <w:r>
        <w:rPr>
          <w:rFonts w:ascii="楷体" w:hAnsi="楷体" w:eastAsia="楷体"/>
        </w:rPr>
        <w:t>不可抗力</w:t>
      </w:r>
      <w:bookmarkEnd w:id="50"/>
      <w:bookmarkEnd w:id="51"/>
      <w:bookmarkEnd w:id="52"/>
      <w:bookmarkEnd w:id="53"/>
      <w:bookmarkEnd w:id="54"/>
      <w:bookmarkEnd w:id="55"/>
    </w:p>
    <w:p>
      <w:pPr>
        <w:pStyle w:val="19"/>
        <w:numPr>
          <w:ilvl w:val="1"/>
          <w:numId w:val="2"/>
        </w:numPr>
        <w:adjustRightInd w:val="0"/>
        <w:snapToGrid w:val="0"/>
        <w:spacing w:beforeLines="0" w:afterLines="50" w:line="360" w:lineRule="exact"/>
        <w:ind w:left="709" w:hanging="709" w:firstLineChars="0"/>
        <w:outlineLvl w:val="1"/>
        <w:rPr>
          <w:rFonts w:ascii="楷体" w:hAnsi="楷体" w:eastAsia="楷体"/>
          <w:b w:val="0"/>
        </w:rPr>
      </w:pPr>
      <w:r>
        <w:rPr>
          <w:rFonts w:ascii="楷体" w:hAnsi="楷体" w:eastAsia="楷体"/>
          <w:b w:val="0"/>
        </w:rPr>
        <w:t>不可抗力，系指地震、台风、水灾、火灾、战争等不能预见、不能避免并不能克服的，直接影响本合同履行的意外事件。如果出现不可抗力，双方在本合同中的义务在不可抗力影响范围及其持续期间内将中止履行。合同期限可根据中止的期限作相应延长，但须双方协商一致。任何一方均不会因此而承担违约责任。但是，一方迟延履行本合同同时发生了不可抗力，迟延方的违约责任不能免除。</w:t>
      </w:r>
    </w:p>
    <w:p>
      <w:pPr>
        <w:pStyle w:val="19"/>
        <w:numPr>
          <w:ilvl w:val="1"/>
          <w:numId w:val="2"/>
        </w:numPr>
        <w:adjustRightInd w:val="0"/>
        <w:snapToGrid w:val="0"/>
        <w:spacing w:beforeLines="0" w:afterLines="50" w:line="360" w:lineRule="exact"/>
        <w:ind w:left="709" w:hanging="709" w:firstLineChars="0"/>
        <w:outlineLvl w:val="1"/>
        <w:rPr>
          <w:rFonts w:ascii="楷体" w:hAnsi="楷体" w:eastAsia="楷体"/>
          <w:b w:val="0"/>
        </w:rPr>
      </w:pPr>
      <w:r>
        <w:rPr>
          <w:rFonts w:ascii="楷体" w:hAnsi="楷体" w:eastAsia="楷体"/>
          <w:b w:val="0"/>
        </w:rPr>
        <w:t>受不可抗力影响的一方，应当尽可能采取合理的行为和适当的措施减轻不可抗力对履行本合同所造成的影响。没有采取适当措施致使损失扩大的，该方不能就扩大损失的部分要求免责。受不可抗力影响一方应在不可抗力事件发生后7个工作日内将不能履行本合同的原因书面通知本合同其他方，并提供有效的证明文件。不可抗力影响结束后，受影响一方应在3个工作日内书面通知本合同其他方。</w:t>
      </w:r>
    </w:p>
    <w:p>
      <w:pPr>
        <w:pStyle w:val="19"/>
        <w:numPr>
          <w:ilvl w:val="1"/>
          <w:numId w:val="2"/>
        </w:numPr>
        <w:adjustRightInd w:val="0"/>
        <w:snapToGrid w:val="0"/>
        <w:spacing w:beforeLines="0" w:afterLines="50" w:line="360" w:lineRule="exact"/>
        <w:ind w:left="709" w:hanging="709" w:firstLineChars="0"/>
        <w:outlineLvl w:val="1"/>
        <w:rPr>
          <w:rFonts w:ascii="楷体" w:hAnsi="楷体" w:eastAsia="楷体"/>
          <w:b w:val="0"/>
        </w:rPr>
      </w:pPr>
      <w:r>
        <w:rPr>
          <w:rFonts w:ascii="楷体" w:hAnsi="楷体" w:eastAsia="楷体"/>
          <w:b w:val="0"/>
        </w:rPr>
        <w:t>如果不可抗力影响超过30日，双方可协商解决此后的合同执行问题。如果双方在相应顺延的30日内未能协商一致，每一方均有权解除合同。</w:t>
      </w:r>
    </w:p>
    <w:p>
      <w:pPr>
        <w:pStyle w:val="19"/>
        <w:numPr>
          <w:ilvl w:val="0"/>
          <w:numId w:val="2"/>
        </w:numPr>
        <w:adjustRightInd w:val="0"/>
        <w:snapToGrid w:val="0"/>
        <w:spacing w:beforeLines="0" w:afterLines="50" w:line="360" w:lineRule="exact"/>
        <w:ind w:left="709" w:hanging="709" w:firstLineChars="0"/>
        <w:outlineLvl w:val="0"/>
        <w:rPr>
          <w:rFonts w:ascii="楷体" w:hAnsi="楷体" w:eastAsia="楷体"/>
        </w:rPr>
      </w:pPr>
      <w:bookmarkStart w:id="56" w:name="_Toc533512281"/>
      <w:bookmarkStart w:id="57" w:name="_Toc25582"/>
      <w:bookmarkStart w:id="58" w:name="_Toc608"/>
      <w:bookmarkStart w:id="59" w:name="_Toc494225889"/>
      <w:bookmarkStart w:id="60" w:name="_Toc494284915"/>
      <w:bookmarkStart w:id="61" w:name="_Toc467427791"/>
      <w:r>
        <w:rPr>
          <w:rFonts w:ascii="楷体" w:hAnsi="楷体" w:eastAsia="楷体"/>
        </w:rPr>
        <w:t>保密</w:t>
      </w:r>
      <w:bookmarkEnd w:id="56"/>
      <w:bookmarkEnd w:id="57"/>
      <w:bookmarkEnd w:id="58"/>
      <w:bookmarkEnd w:id="59"/>
      <w:bookmarkEnd w:id="60"/>
      <w:bookmarkEnd w:id="61"/>
    </w:p>
    <w:p>
      <w:pPr>
        <w:pStyle w:val="19"/>
        <w:numPr>
          <w:ilvl w:val="1"/>
          <w:numId w:val="2"/>
        </w:numPr>
        <w:adjustRightInd w:val="0"/>
        <w:snapToGrid w:val="0"/>
        <w:spacing w:beforeLines="0" w:afterLines="50" w:line="360" w:lineRule="exact"/>
        <w:ind w:left="709" w:hanging="709" w:firstLineChars="0"/>
        <w:outlineLvl w:val="1"/>
        <w:rPr>
          <w:rFonts w:ascii="楷体" w:hAnsi="楷体" w:eastAsia="楷体"/>
          <w:b w:val="0"/>
        </w:rPr>
      </w:pPr>
      <w:r>
        <w:rPr>
          <w:rFonts w:ascii="楷体" w:hAnsi="楷体" w:eastAsia="楷体"/>
          <w:b w:val="0"/>
        </w:rPr>
        <w:t>乙方应按照甲方的要求签署《保密承诺》，并按《保密承诺》的规定严格履行保密义务。</w:t>
      </w:r>
    </w:p>
    <w:p>
      <w:pPr>
        <w:pStyle w:val="19"/>
        <w:numPr>
          <w:ilvl w:val="0"/>
          <w:numId w:val="2"/>
        </w:numPr>
        <w:tabs>
          <w:tab w:val="clear" w:pos="709"/>
        </w:tabs>
        <w:adjustRightInd w:val="0"/>
        <w:snapToGrid w:val="0"/>
        <w:spacing w:beforeLines="0" w:afterLines="50" w:line="360" w:lineRule="exact"/>
        <w:ind w:left="0" w:firstLine="0" w:firstLineChars="0"/>
        <w:outlineLvl w:val="0"/>
        <w:rPr>
          <w:rFonts w:ascii="楷体" w:hAnsi="楷体" w:eastAsia="楷体"/>
        </w:rPr>
      </w:pPr>
      <w:bookmarkStart w:id="62" w:name="_Toc269"/>
      <w:bookmarkStart w:id="63" w:name="_Toc467427795"/>
      <w:bookmarkStart w:id="64" w:name="_Toc494284919"/>
      <w:bookmarkStart w:id="65" w:name="_Toc533512285"/>
      <w:bookmarkStart w:id="66" w:name="_Toc494225893"/>
      <w:bookmarkStart w:id="67" w:name="_Toc25280"/>
      <w:r>
        <w:rPr>
          <w:rFonts w:ascii="楷体" w:hAnsi="楷体" w:eastAsia="楷体"/>
        </w:rPr>
        <w:t xml:space="preserve">  通知</w:t>
      </w:r>
      <w:bookmarkEnd w:id="62"/>
      <w:bookmarkEnd w:id="63"/>
      <w:bookmarkEnd w:id="64"/>
      <w:bookmarkEnd w:id="65"/>
      <w:bookmarkEnd w:id="66"/>
      <w:bookmarkEnd w:id="67"/>
    </w:p>
    <w:p>
      <w:pPr>
        <w:pStyle w:val="2"/>
        <w:numPr>
          <w:ilvl w:val="1"/>
          <w:numId w:val="2"/>
        </w:numPr>
        <w:spacing w:afterLines="50" w:line="360" w:lineRule="exact"/>
        <w:ind w:left="709" w:hanging="709"/>
        <w:jc w:val="both"/>
        <w:outlineLvl w:val="1"/>
        <w:rPr>
          <w:rFonts w:ascii="楷体" w:hAnsi="楷体" w:eastAsia="楷体"/>
          <w:color w:val="auto"/>
        </w:rPr>
      </w:pPr>
      <w:r>
        <w:rPr>
          <w:rFonts w:ascii="楷体" w:hAnsi="楷体" w:eastAsia="楷体"/>
          <w:bCs/>
          <w:color w:val="auto"/>
        </w:rPr>
        <w:t>除非本合同另有约定，否则，根据本合同发出的任何通知、要求或其他文件应采用</w:t>
      </w:r>
      <w:r>
        <w:rPr>
          <w:rFonts w:ascii="楷体" w:hAnsi="楷体" w:eastAsia="楷体"/>
          <w:color w:val="auto"/>
        </w:rPr>
        <w:t>书面形式。各方确认本合同涉及的各类通知、要求、其他文件以及就本合同发生纠纷时相关文件和法律文书的送达地址如下：</w:t>
      </w:r>
    </w:p>
    <w:p>
      <w:pPr>
        <w:pStyle w:val="19"/>
        <w:adjustRightInd w:val="0"/>
        <w:snapToGrid w:val="0"/>
        <w:spacing w:before="78" w:afterLines="50" w:line="360" w:lineRule="exact"/>
        <w:ind w:left="709"/>
        <w:outlineLvl w:val="1"/>
        <w:rPr>
          <w:rFonts w:ascii="楷体" w:hAnsi="楷体" w:eastAsia="楷体"/>
          <w:b w:val="0"/>
          <w:u w:val="single"/>
        </w:rPr>
      </w:pPr>
      <w:r>
        <w:rPr>
          <w:rFonts w:hint="eastAsia" w:ascii="楷体" w:hAnsi="楷体" w:eastAsia="楷体"/>
          <w:b w:val="0"/>
          <w:u w:val="single"/>
        </w:rPr>
        <w:t xml:space="preserve">甲方：  深圳市招商平安资产管理有限责任公司   </w:t>
      </w:r>
    </w:p>
    <w:p>
      <w:pPr>
        <w:pStyle w:val="19"/>
        <w:adjustRightInd w:val="0"/>
        <w:snapToGrid w:val="0"/>
        <w:spacing w:before="78" w:afterLines="50" w:line="360" w:lineRule="exact"/>
        <w:ind w:left="709"/>
        <w:outlineLvl w:val="1"/>
        <w:rPr>
          <w:rFonts w:ascii="楷体" w:hAnsi="楷体" w:eastAsia="楷体"/>
          <w:b w:val="0"/>
          <w:u w:val="single"/>
        </w:rPr>
      </w:pPr>
      <w:r>
        <w:rPr>
          <w:rFonts w:hint="eastAsia" w:ascii="楷体" w:hAnsi="楷体" w:eastAsia="楷体"/>
          <w:b w:val="0"/>
          <w:u w:val="single"/>
        </w:rPr>
        <w:t xml:space="preserve">送达地址： 广州市天河区珠江西路5号广州国际金融中心4605室 </w:t>
      </w:r>
    </w:p>
    <w:p>
      <w:pPr>
        <w:pStyle w:val="19"/>
        <w:adjustRightInd w:val="0"/>
        <w:snapToGrid w:val="0"/>
        <w:spacing w:before="78" w:afterLines="50" w:line="360" w:lineRule="exact"/>
        <w:ind w:left="709"/>
        <w:outlineLvl w:val="1"/>
        <w:rPr>
          <w:rFonts w:ascii="楷体" w:hAnsi="楷体" w:eastAsia="楷体"/>
          <w:b w:val="0"/>
          <w:u w:val="single"/>
        </w:rPr>
      </w:pPr>
      <w:r>
        <w:rPr>
          <w:rFonts w:hint="eastAsia" w:ascii="楷体" w:hAnsi="楷体" w:eastAsia="楷体"/>
          <w:b w:val="0"/>
          <w:u w:val="single"/>
        </w:rPr>
        <w:t>联系人：卢思雅         联系电话：18520025699</w:t>
      </w:r>
    </w:p>
    <w:p>
      <w:pPr>
        <w:pStyle w:val="19"/>
        <w:adjustRightInd w:val="0"/>
        <w:snapToGrid w:val="0"/>
        <w:spacing w:before="78" w:afterLines="50" w:line="360" w:lineRule="exact"/>
        <w:ind w:left="709"/>
        <w:outlineLvl w:val="1"/>
        <w:rPr>
          <w:rFonts w:ascii="楷体" w:hAnsi="楷体" w:eastAsia="楷体"/>
          <w:b w:val="0"/>
          <w:u w:val="single"/>
        </w:rPr>
      </w:pPr>
      <w:r>
        <w:rPr>
          <w:rFonts w:ascii="楷体" w:hAnsi="楷体" w:eastAsia="楷体"/>
          <w:b w:val="0"/>
          <w:u w:val="single"/>
        </w:rPr>
        <w:t>乙方：</w:t>
      </w:r>
      <w:r>
        <w:rPr>
          <w:rFonts w:hint="eastAsia" w:ascii="楷体" w:hAnsi="楷体" w:eastAsia="楷体"/>
          <w:b w:val="0"/>
          <w:u w:val="single"/>
        </w:rPr>
        <w:t xml:space="preserve">  </w:t>
      </w:r>
    </w:p>
    <w:p>
      <w:pPr>
        <w:pStyle w:val="19"/>
        <w:adjustRightInd w:val="0"/>
        <w:snapToGrid w:val="0"/>
        <w:spacing w:before="78" w:afterLines="50" w:line="360" w:lineRule="exact"/>
        <w:ind w:left="709"/>
        <w:outlineLvl w:val="1"/>
        <w:rPr>
          <w:rFonts w:ascii="楷体" w:hAnsi="楷体" w:eastAsia="楷体"/>
          <w:b w:val="0"/>
          <w:u w:val="single"/>
        </w:rPr>
      </w:pPr>
      <w:r>
        <w:rPr>
          <w:rFonts w:ascii="楷体" w:hAnsi="楷体" w:eastAsia="楷体"/>
          <w:b w:val="0"/>
          <w:u w:val="single"/>
        </w:rPr>
        <w:t>送达地址：</w:t>
      </w:r>
    </w:p>
    <w:p>
      <w:pPr>
        <w:pStyle w:val="19"/>
        <w:adjustRightInd w:val="0"/>
        <w:snapToGrid w:val="0"/>
        <w:spacing w:beforeLines="0" w:afterLines="50" w:line="360" w:lineRule="exact"/>
        <w:ind w:left="709"/>
        <w:outlineLvl w:val="1"/>
        <w:rPr>
          <w:rFonts w:ascii="楷体" w:hAnsi="楷体" w:eastAsia="楷体"/>
          <w:b w:val="0"/>
          <w:u w:val="single"/>
        </w:rPr>
      </w:pPr>
      <w:r>
        <w:rPr>
          <w:rFonts w:ascii="楷体" w:hAnsi="楷体" w:eastAsia="楷体"/>
          <w:b w:val="0"/>
          <w:u w:val="single"/>
        </w:rPr>
        <w:t>联系人：</w:t>
      </w:r>
    </w:p>
    <w:p>
      <w:pPr>
        <w:pStyle w:val="19"/>
        <w:adjustRightInd w:val="0"/>
        <w:snapToGrid w:val="0"/>
        <w:spacing w:beforeLines="0" w:afterLines="50" w:line="360" w:lineRule="exact"/>
        <w:ind w:left="709"/>
        <w:outlineLvl w:val="1"/>
        <w:rPr>
          <w:rFonts w:ascii="楷体" w:hAnsi="楷体" w:eastAsia="楷体"/>
          <w:b w:val="0"/>
          <w:u w:val="single"/>
        </w:rPr>
      </w:pPr>
      <w:r>
        <w:rPr>
          <w:rFonts w:ascii="楷体" w:hAnsi="楷体" w:eastAsia="楷体"/>
          <w:b w:val="0"/>
          <w:bCs w:val="0"/>
          <w:u w:val="single"/>
        </w:rPr>
        <w:t>电话</w:t>
      </w:r>
      <w:r>
        <w:rPr>
          <w:rFonts w:ascii="楷体" w:hAnsi="楷体" w:eastAsia="楷体"/>
          <w:u w:val="single"/>
        </w:rPr>
        <w:t>：</w:t>
      </w:r>
    </w:p>
    <w:p>
      <w:pPr>
        <w:pStyle w:val="19"/>
        <w:numPr>
          <w:ilvl w:val="1"/>
          <w:numId w:val="2"/>
        </w:numPr>
        <w:adjustRightInd w:val="0"/>
        <w:snapToGrid w:val="0"/>
        <w:spacing w:before="78" w:afterLines="50" w:line="360" w:lineRule="exact"/>
        <w:ind w:left="709" w:hanging="709" w:firstLineChars="0"/>
        <w:outlineLvl w:val="1"/>
        <w:rPr>
          <w:rFonts w:ascii="楷体" w:hAnsi="楷体" w:eastAsia="楷体"/>
          <w:b w:val="0"/>
        </w:rPr>
      </w:pPr>
      <w:r>
        <w:rPr>
          <w:rFonts w:ascii="楷体" w:hAnsi="楷体" w:eastAsia="楷体"/>
          <w:b w:val="0"/>
        </w:rPr>
        <w:t>双方送达地址的约定的适用范围包括双方签署和履行本合同所需的各类通知、要求或其他文件以及就本合同发生争议时相关文件和法律文书的送达，同时包括在争议进入仲裁、民事诉讼程序后的一审、二审、再审和执行程序。</w:t>
      </w:r>
    </w:p>
    <w:p>
      <w:pPr>
        <w:pStyle w:val="19"/>
        <w:numPr>
          <w:ilvl w:val="1"/>
          <w:numId w:val="2"/>
        </w:numPr>
        <w:adjustRightInd w:val="0"/>
        <w:snapToGrid w:val="0"/>
        <w:spacing w:before="78" w:afterLines="50" w:line="360" w:lineRule="exact"/>
        <w:ind w:left="709" w:hanging="709" w:firstLineChars="0"/>
        <w:outlineLvl w:val="1"/>
        <w:rPr>
          <w:rFonts w:ascii="楷体" w:hAnsi="楷体" w:eastAsia="楷体"/>
          <w:b w:val="0"/>
        </w:rPr>
      </w:pPr>
      <w:r>
        <w:rPr>
          <w:rFonts w:ascii="楷体" w:hAnsi="楷体" w:eastAsia="楷体"/>
          <w:b w:val="0"/>
        </w:rPr>
        <w:t>一方的送达地址需要变更时应当立即书面通知其他方。</w:t>
      </w:r>
    </w:p>
    <w:p>
      <w:pPr>
        <w:pStyle w:val="19"/>
        <w:adjustRightInd w:val="0"/>
        <w:snapToGrid w:val="0"/>
        <w:spacing w:before="78" w:afterLines="50" w:line="360" w:lineRule="exact"/>
        <w:ind w:left="709" w:firstLine="0" w:firstLineChars="0"/>
        <w:outlineLvl w:val="1"/>
        <w:rPr>
          <w:rFonts w:ascii="楷体" w:hAnsi="楷体" w:eastAsia="楷体"/>
          <w:b w:val="0"/>
        </w:rPr>
      </w:pPr>
      <w:r>
        <w:rPr>
          <w:rFonts w:ascii="楷体" w:hAnsi="楷体" w:eastAsia="楷体"/>
          <w:b w:val="0"/>
        </w:rPr>
        <w:t>在仲裁及民事诉讼程序中一方当事人地址变更时，该方当事人还应当向仲裁机构、法院履行送达地址变更通知义务。</w:t>
      </w:r>
    </w:p>
    <w:p>
      <w:pPr>
        <w:pStyle w:val="19"/>
        <w:adjustRightInd w:val="0"/>
        <w:snapToGrid w:val="0"/>
        <w:spacing w:before="78" w:afterLines="50" w:line="360" w:lineRule="exact"/>
        <w:ind w:left="709" w:firstLine="0" w:firstLineChars="0"/>
        <w:outlineLvl w:val="1"/>
        <w:rPr>
          <w:rFonts w:ascii="楷体" w:hAnsi="楷体" w:eastAsia="楷体"/>
          <w:b w:val="0"/>
        </w:rPr>
      </w:pPr>
      <w:r>
        <w:rPr>
          <w:rFonts w:ascii="楷体" w:hAnsi="楷体" w:eastAsia="楷体"/>
          <w:b w:val="0"/>
        </w:rPr>
        <w:t>一方未按前述方式履行通知义务，双方所确认的送达地址仍视为有效送达地址，因当事人提供或者确认的送达地址不准确、送达地址变更后未及时依程序告知其他方和法院、当事人或指定的接收人拒绝签收等原因，导致法律文书未能被当事人实际接收的，下列日期视为送达日：（1）直接送达的，送达人实际送交至上述地址之日为送达日；（2）挂号信邮寄送达的，以发出通知一方持有的挂号信回执所示的送达日为送达日；（3）特快专递方式送达的，收件人签收日为送达日；收件人未签收的，以寄出日后第4个工作日为送达日；（4）如采取传真方式，以收到传真成功发送确认报告之日为送达日，如果发出日不是收件人一方的工作日，则以其下一个工作日为送达日。</w:t>
      </w:r>
    </w:p>
    <w:p>
      <w:pPr>
        <w:pStyle w:val="19"/>
        <w:adjustRightInd w:val="0"/>
        <w:snapToGrid w:val="0"/>
        <w:spacing w:before="78" w:afterLines="50" w:line="360" w:lineRule="exact"/>
        <w:ind w:left="709" w:firstLine="0" w:firstLineChars="0"/>
        <w:outlineLvl w:val="1"/>
        <w:rPr>
          <w:rFonts w:ascii="楷体" w:hAnsi="楷体" w:eastAsia="楷体"/>
          <w:b w:val="0"/>
        </w:rPr>
      </w:pPr>
      <w:r>
        <w:rPr>
          <w:rFonts w:ascii="楷体" w:hAnsi="楷体" w:eastAsia="楷体"/>
          <w:b w:val="0"/>
        </w:rPr>
        <w:t>履行送达地址变更通知义务的，以变更后的送达地址为有效送达地址。</w:t>
      </w:r>
    </w:p>
    <w:p>
      <w:pPr>
        <w:pStyle w:val="19"/>
        <w:numPr>
          <w:ilvl w:val="1"/>
          <w:numId w:val="2"/>
        </w:numPr>
        <w:adjustRightInd w:val="0"/>
        <w:snapToGrid w:val="0"/>
        <w:spacing w:before="78" w:afterLines="50" w:line="360" w:lineRule="exact"/>
        <w:ind w:left="709" w:hanging="709" w:firstLineChars="0"/>
        <w:outlineLvl w:val="1"/>
        <w:rPr>
          <w:rFonts w:ascii="楷体" w:hAnsi="楷体" w:eastAsia="楷体"/>
          <w:b w:val="0"/>
        </w:rPr>
      </w:pPr>
      <w:r>
        <w:rPr>
          <w:rFonts w:ascii="楷体" w:hAnsi="楷体" w:eastAsia="楷体"/>
          <w:b w:val="0"/>
        </w:rPr>
        <w:t>双方在本合同明确约定的送达地址，仲裁机构或法院进行送达时可直接邮寄送达，即使当事人未能收到法院邮寄送达的文书，由于其在本合同的约定，也应当视为送达。纠纷进入仲裁、诉讼程序后，如一方应诉并直接向仲裁机构、法院提交送达地址确认书，该确认地址与诉前确认的送达地址不一致的，以向仲裁机构、法院提交确认的送达地址为准。</w:t>
      </w:r>
    </w:p>
    <w:p>
      <w:pPr>
        <w:pStyle w:val="19"/>
        <w:numPr>
          <w:ilvl w:val="0"/>
          <w:numId w:val="2"/>
        </w:numPr>
        <w:adjustRightInd w:val="0"/>
        <w:snapToGrid w:val="0"/>
        <w:spacing w:beforeLines="0" w:afterLines="50" w:line="360" w:lineRule="exact"/>
        <w:ind w:left="709" w:hanging="709" w:firstLineChars="0"/>
        <w:outlineLvl w:val="0"/>
        <w:rPr>
          <w:rFonts w:ascii="楷体" w:hAnsi="楷体" w:eastAsia="楷体"/>
        </w:rPr>
      </w:pPr>
      <w:bookmarkStart w:id="68" w:name="_Toc26083"/>
      <w:bookmarkStart w:id="69" w:name="_Toc26471"/>
      <w:bookmarkStart w:id="70" w:name="_Toc494225894"/>
      <w:bookmarkStart w:id="71" w:name="_Toc467427796"/>
      <w:bookmarkStart w:id="72" w:name="_Toc533512286"/>
      <w:bookmarkStart w:id="73" w:name="_Toc494284920"/>
      <w:r>
        <w:rPr>
          <w:rFonts w:ascii="楷体" w:hAnsi="楷体" w:eastAsia="楷体"/>
        </w:rPr>
        <w:t>法律适用和争议解决</w:t>
      </w:r>
      <w:bookmarkEnd w:id="68"/>
      <w:bookmarkEnd w:id="69"/>
      <w:bookmarkEnd w:id="70"/>
      <w:bookmarkEnd w:id="71"/>
      <w:bookmarkEnd w:id="72"/>
      <w:bookmarkEnd w:id="73"/>
    </w:p>
    <w:p>
      <w:pPr>
        <w:pStyle w:val="19"/>
        <w:numPr>
          <w:ilvl w:val="1"/>
          <w:numId w:val="2"/>
        </w:numPr>
        <w:adjustRightInd w:val="0"/>
        <w:snapToGrid w:val="0"/>
        <w:spacing w:before="78" w:afterLines="50" w:line="360" w:lineRule="exact"/>
        <w:ind w:left="709" w:hanging="709" w:firstLineChars="0"/>
        <w:outlineLvl w:val="1"/>
        <w:rPr>
          <w:rFonts w:ascii="楷体" w:hAnsi="楷体" w:eastAsia="楷体"/>
          <w:b w:val="0"/>
        </w:rPr>
      </w:pPr>
      <w:r>
        <w:rPr>
          <w:rFonts w:ascii="楷体" w:hAnsi="楷体" w:eastAsia="楷体"/>
          <w:b w:val="0"/>
        </w:rPr>
        <w:t>本合同适用中国法律，并依其解释。</w:t>
      </w:r>
    </w:p>
    <w:p>
      <w:pPr>
        <w:pStyle w:val="19"/>
        <w:numPr>
          <w:ilvl w:val="1"/>
          <w:numId w:val="2"/>
        </w:numPr>
        <w:adjustRightInd w:val="0"/>
        <w:snapToGrid w:val="0"/>
        <w:spacing w:before="78" w:afterLines="50" w:line="360" w:lineRule="exact"/>
        <w:ind w:left="709" w:hanging="709" w:firstLineChars="0"/>
        <w:outlineLvl w:val="1"/>
        <w:rPr>
          <w:rFonts w:ascii="楷体" w:hAnsi="楷体" w:eastAsia="楷体"/>
          <w:b w:val="0"/>
        </w:rPr>
      </w:pPr>
      <w:r>
        <w:rPr>
          <w:rFonts w:ascii="楷体" w:hAnsi="楷体" w:eastAsia="楷体"/>
          <w:b w:val="0"/>
          <w:bCs w:val="0"/>
        </w:rPr>
        <w:t>因本合同引起的或与本合同有关的任何争议，双方可通过友好协商解决，协商不成的，提交深圳国际仲裁院（深圳仲裁委员会）在深圳市按其届时有效的仲裁规则作出有拘束力的仲裁裁决。</w:t>
      </w:r>
    </w:p>
    <w:p>
      <w:pPr>
        <w:pStyle w:val="19"/>
        <w:numPr>
          <w:ilvl w:val="1"/>
          <w:numId w:val="2"/>
        </w:numPr>
        <w:adjustRightInd w:val="0"/>
        <w:snapToGrid w:val="0"/>
        <w:spacing w:before="78" w:afterLines="50" w:line="360" w:lineRule="exact"/>
        <w:ind w:left="709" w:hanging="709" w:firstLineChars="0"/>
        <w:outlineLvl w:val="1"/>
        <w:rPr>
          <w:rFonts w:ascii="楷体" w:hAnsi="楷体" w:eastAsia="楷体"/>
          <w:b w:val="0"/>
        </w:rPr>
      </w:pPr>
      <w:r>
        <w:rPr>
          <w:rFonts w:ascii="楷体" w:hAnsi="楷体" w:eastAsia="楷体"/>
          <w:b w:val="0"/>
        </w:rPr>
        <w:t>在本合同争议解决期间，除争议事项外，双方应继续履行本合同的其他条款。</w:t>
      </w:r>
    </w:p>
    <w:p>
      <w:pPr>
        <w:pStyle w:val="19"/>
        <w:numPr>
          <w:ilvl w:val="0"/>
          <w:numId w:val="2"/>
        </w:numPr>
        <w:adjustRightInd w:val="0"/>
        <w:snapToGrid w:val="0"/>
        <w:spacing w:beforeLines="0" w:afterLines="50" w:line="360" w:lineRule="exact"/>
        <w:ind w:left="709" w:hanging="709" w:firstLineChars="0"/>
        <w:outlineLvl w:val="0"/>
        <w:rPr>
          <w:rFonts w:ascii="楷体" w:hAnsi="楷体" w:eastAsia="楷体"/>
        </w:rPr>
      </w:pPr>
      <w:bookmarkStart w:id="74" w:name="_Toc467427797"/>
      <w:bookmarkStart w:id="75" w:name="_Toc533512287"/>
      <w:bookmarkStart w:id="76" w:name="_Toc10407"/>
      <w:bookmarkStart w:id="77" w:name="_Toc22789"/>
      <w:bookmarkStart w:id="78" w:name="_Toc494284921"/>
      <w:bookmarkStart w:id="79" w:name="_Toc494225895"/>
      <w:r>
        <w:rPr>
          <w:rFonts w:ascii="楷体" w:hAnsi="楷体" w:eastAsia="楷体"/>
        </w:rPr>
        <w:t>其他</w:t>
      </w:r>
      <w:bookmarkEnd w:id="74"/>
      <w:bookmarkEnd w:id="75"/>
      <w:bookmarkEnd w:id="76"/>
      <w:bookmarkEnd w:id="77"/>
      <w:bookmarkEnd w:id="78"/>
      <w:bookmarkEnd w:id="79"/>
    </w:p>
    <w:p>
      <w:pPr>
        <w:pStyle w:val="19"/>
        <w:numPr>
          <w:ilvl w:val="1"/>
          <w:numId w:val="2"/>
        </w:numPr>
        <w:adjustRightInd w:val="0"/>
        <w:snapToGrid w:val="0"/>
        <w:spacing w:before="78" w:afterLines="50" w:line="360" w:lineRule="exact"/>
        <w:ind w:left="709" w:hanging="709" w:firstLineChars="0"/>
        <w:outlineLvl w:val="1"/>
        <w:rPr>
          <w:rFonts w:ascii="楷体" w:hAnsi="楷体" w:eastAsia="楷体"/>
          <w:b w:val="0"/>
        </w:rPr>
      </w:pPr>
      <w:r>
        <w:rPr>
          <w:rFonts w:ascii="楷体" w:hAnsi="楷体" w:eastAsia="楷体"/>
          <w:b w:val="0"/>
        </w:rPr>
        <w:t>本合同的任何条款根据适用法律被确定为无效、违法或不能执行，均不影响本合同其他条款的有效性、合法性及可执行性。如果本合同的任何约定依现行法律被确定为无效或无法实施，双方将以有效的约定替换该约定，且该有效约定应尽可能接近原约定和本合同相应的目的和精神。</w:t>
      </w:r>
    </w:p>
    <w:p>
      <w:pPr>
        <w:pStyle w:val="19"/>
        <w:numPr>
          <w:ilvl w:val="1"/>
          <w:numId w:val="2"/>
        </w:numPr>
        <w:adjustRightInd w:val="0"/>
        <w:snapToGrid w:val="0"/>
        <w:spacing w:before="78" w:afterLines="50" w:line="360" w:lineRule="exact"/>
        <w:ind w:left="709" w:hanging="709" w:firstLineChars="0"/>
        <w:outlineLvl w:val="1"/>
        <w:rPr>
          <w:rFonts w:ascii="楷体" w:hAnsi="楷体" w:eastAsia="楷体"/>
          <w:b w:val="0"/>
        </w:rPr>
      </w:pPr>
      <w:r>
        <w:rPr>
          <w:rFonts w:ascii="楷体" w:hAnsi="楷体" w:eastAsia="楷体"/>
          <w:b w:val="0"/>
        </w:rPr>
        <w:t>本合同自甲、乙双方法定代表人（负责人）签字（或盖章）并加盖双方公章之日起成立并生效。</w:t>
      </w:r>
    </w:p>
    <w:p>
      <w:pPr>
        <w:pStyle w:val="19"/>
        <w:numPr>
          <w:ilvl w:val="1"/>
          <w:numId w:val="2"/>
        </w:numPr>
        <w:adjustRightInd w:val="0"/>
        <w:snapToGrid w:val="0"/>
        <w:spacing w:beforeLines="0" w:afterLines="50" w:line="360" w:lineRule="exact"/>
        <w:ind w:left="709" w:hanging="709" w:firstLineChars="0"/>
        <w:outlineLvl w:val="1"/>
        <w:rPr>
          <w:rFonts w:ascii="楷体" w:hAnsi="楷体" w:eastAsia="楷体"/>
          <w:b w:val="0"/>
        </w:rPr>
      </w:pPr>
      <w:r>
        <w:rPr>
          <w:rFonts w:ascii="楷体" w:hAnsi="楷体" w:eastAsia="楷体"/>
          <w:b w:val="0"/>
        </w:rPr>
        <w:t>本合同正本一式</w:t>
      </w:r>
      <w:r>
        <w:rPr>
          <w:rFonts w:hint="eastAsia" w:ascii="楷体" w:hAnsi="楷体" w:eastAsia="楷体"/>
          <w:b w:val="0"/>
        </w:rPr>
        <w:t>陆份</w:t>
      </w:r>
      <w:r>
        <w:rPr>
          <w:rFonts w:ascii="楷体" w:hAnsi="楷体" w:eastAsia="楷体"/>
          <w:b w:val="0"/>
        </w:rPr>
        <w:t>，双方各执</w:t>
      </w:r>
      <w:r>
        <w:rPr>
          <w:rFonts w:hint="eastAsia" w:ascii="楷体" w:hAnsi="楷体" w:eastAsia="楷体"/>
          <w:b w:val="0"/>
        </w:rPr>
        <w:t>叁份</w:t>
      </w:r>
      <w:r>
        <w:rPr>
          <w:rFonts w:ascii="楷体" w:hAnsi="楷体" w:eastAsia="楷体"/>
          <w:b w:val="0"/>
        </w:rPr>
        <w:t>，每份具有同等法律效力。</w:t>
      </w:r>
    </w:p>
    <w:p>
      <w:pPr>
        <w:pStyle w:val="19"/>
        <w:numPr>
          <w:ilvl w:val="0"/>
          <w:numId w:val="2"/>
        </w:numPr>
        <w:adjustRightInd w:val="0"/>
        <w:snapToGrid w:val="0"/>
        <w:spacing w:beforeLines="0" w:afterLines="50" w:line="360" w:lineRule="exact"/>
        <w:ind w:left="709" w:hanging="709" w:firstLineChars="0"/>
        <w:outlineLvl w:val="0"/>
        <w:rPr>
          <w:rFonts w:ascii="楷体" w:hAnsi="楷体" w:eastAsia="楷体"/>
        </w:rPr>
      </w:pPr>
      <w:bookmarkStart w:id="80" w:name="_Toc494225896"/>
      <w:bookmarkStart w:id="81" w:name="_Toc533512288"/>
      <w:bookmarkStart w:id="82" w:name="_Toc473908128"/>
      <w:bookmarkStart w:id="83" w:name="_Toc494284922"/>
      <w:bookmarkStart w:id="84" w:name="_Toc3906"/>
      <w:bookmarkStart w:id="85" w:name="_Toc16601"/>
      <w:r>
        <w:rPr>
          <w:rFonts w:ascii="楷体" w:hAnsi="楷体" w:eastAsia="楷体"/>
        </w:rPr>
        <w:t>本合同附件</w:t>
      </w:r>
      <w:bookmarkEnd w:id="80"/>
      <w:bookmarkEnd w:id="81"/>
      <w:bookmarkEnd w:id="82"/>
      <w:bookmarkEnd w:id="83"/>
      <w:bookmarkEnd w:id="84"/>
      <w:bookmarkEnd w:id="85"/>
    </w:p>
    <w:p>
      <w:pPr>
        <w:pStyle w:val="19"/>
        <w:numPr>
          <w:ilvl w:val="1"/>
          <w:numId w:val="2"/>
        </w:numPr>
        <w:adjustRightInd w:val="0"/>
        <w:snapToGrid w:val="0"/>
        <w:spacing w:before="78" w:afterLines="50" w:line="360" w:lineRule="exact"/>
        <w:ind w:left="709" w:hanging="709" w:firstLineChars="0"/>
        <w:outlineLvl w:val="1"/>
        <w:rPr>
          <w:rFonts w:ascii="楷体" w:hAnsi="楷体" w:eastAsia="楷体"/>
          <w:b w:val="0"/>
        </w:rPr>
      </w:pPr>
      <w:r>
        <w:rPr>
          <w:rFonts w:ascii="楷体" w:hAnsi="楷体" w:eastAsia="楷体"/>
          <w:b w:val="0"/>
        </w:rPr>
        <w:t>本合同包括以下附件：</w:t>
      </w:r>
    </w:p>
    <w:p>
      <w:pPr>
        <w:pStyle w:val="19"/>
        <w:adjustRightInd w:val="0"/>
        <w:snapToGrid w:val="0"/>
        <w:spacing w:before="78" w:afterLines="50" w:line="360" w:lineRule="exact"/>
        <w:ind w:left="709" w:firstLine="0" w:firstLineChars="0"/>
        <w:outlineLvl w:val="1"/>
        <w:rPr>
          <w:rFonts w:ascii="楷体" w:hAnsi="楷体" w:eastAsia="楷体"/>
          <w:b w:val="0"/>
        </w:rPr>
      </w:pPr>
      <w:r>
        <w:rPr>
          <w:rFonts w:ascii="楷体" w:hAnsi="楷体" w:eastAsia="楷体"/>
          <w:b w:val="0"/>
        </w:rPr>
        <w:t>附件1  标的债权清单</w:t>
      </w:r>
    </w:p>
    <w:p>
      <w:pPr>
        <w:pStyle w:val="19"/>
        <w:adjustRightInd w:val="0"/>
        <w:snapToGrid w:val="0"/>
        <w:spacing w:before="78" w:afterLines="50" w:line="360" w:lineRule="exact"/>
        <w:ind w:left="709" w:firstLine="0" w:firstLineChars="0"/>
        <w:outlineLvl w:val="1"/>
        <w:rPr>
          <w:rFonts w:ascii="楷体" w:hAnsi="楷体" w:eastAsia="楷体"/>
          <w:b w:val="0"/>
        </w:rPr>
      </w:pPr>
      <w:r>
        <w:rPr>
          <w:rFonts w:ascii="楷体" w:hAnsi="楷体" w:eastAsia="楷体"/>
          <w:b w:val="0"/>
        </w:rPr>
        <w:t>附件2  债权文件收据</w:t>
      </w:r>
    </w:p>
    <w:p>
      <w:pPr>
        <w:pStyle w:val="19"/>
        <w:adjustRightInd w:val="0"/>
        <w:snapToGrid w:val="0"/>
        <w:spacing w:before="78" w:afterLines="50" w:line="360" w:lineRule="exact"/>
        <w:ind w:left="709" w:firstLine="0" w:firstLineChars="0"/>
        <w:outlineLvl w:val="1"/>
        <w:rPr>
          <w:rFonts w:ascii="楷体" w:hAnsi="楷体" w:eastAsia="楷体"/>
          <w:b w:val="0"/>
        </w:rPr>
      </w:pPr>
      <w:r>
        <w:rPr>
          <w:rFonts w:ascii="楷体" w:hAnsi="楷体" w:eastAsia="楷体"/>
          <w:b w:val="0"/>
        </w:rPr>
        <w:t>附件3  处置收入及处置费用明细表</w:t>
      </w:r>
    </w:p>
    <w:p>
      <w:pPr>
        <w:pStyle w:val="19"/>
        <w:numPr>
          <w:ilvl w:val="1"/>
          <w:numId w:val="2"/>
        </w:numPr>
        <w:adjustRightInd w:val="0"/>
        <w:snapToGrid w:val="0"/>
        <w:spacing w:before="78" w:afterLines="50" w:line="360" w:lineRule="exact"/>
        <w:ind w:left="709" w:hanging="709" w:firstLineChars="0"/>
        <w:outlineLvl w:val="1"/>
        <w:rPr>
          <w:rFonts w:ascii="楷体" w:hAnsi="楷体" w:eastAsia="楷体"/>
          <w:b w:val="0"/>
        </w:rPr>
      </w:pPr>
      <w:r>
        <w:rPr>
          <w:rFonts w:ascii="楷体" w:hAnsi="楷体" w:eastAsia="楷体"/>
          <w:b w:val="0"/>
        </w:rPr>
        <w:t>附件作为本合同不可分割的组成部分，与本合同具有同等效力。</w:t>
      </w:r>
    </w:p>
    <w:p>
      <w:pPr>
        <w:spacing w:afterLines="50" w:line="360" w:lineRule="exact"/>
        <w:rPr>
          <w:rFonts w:ascii="楷体" w:hAnsi="楷体" w:eastAsia="楷体"/>
          <w:sz w:val="24"/>
          <w:szCs w:val="24"/>
        </w:rPr>
      </w:pPr>
      <w:r>
        <w:rPr>
          <w:rFonts w:ascii="楷体" w:hAnsi="楷体" w:eastAsia="楷体"/>
          <w:sz w:val="24"/>
          <w:szCs w:val="24"/>
        </w:rPr>
        <w:t>（以下无正文）</w:t>
      </w:r>
    </w:p>
    <w:p>
      <w:pPr>
        <w:spacing w:afterLines="50"/>
        <w:rPr>
          <w:rFonts w:ascii="楷体" w:hAnsi="楷体" w:eastAsia="楷体"/>
          <w:sz w:val="24"/>
          <w:szCs w:val="24"/>
        </w:rPr>
      </w:pPr>
      <w:r>
        <w:rPr>
          <w:rFonts w:ascii="楷体" w:hAnsi="楷体" w:eastAsia="楷体"/>
          <w:b/>
          <w:bCs/>
          <w:sz w:val="24"/>
          <w:szCs w:val="24"/>
        </w:rPr>
        <w:br w:type="page"/>
      </w:r>
      <w:r>
        <w:rPr>
          <w:rFonts w:ascii="楷体" w:hAnsi="楷体" w:eastAsia="楷体"/>
          <w:sz w:val="24"/>
          <w:szCs w:val="24"/>
        </w:rPr>
        <w:t>（本页无正文，为《</w:t>
      </w:r>
      <w:r>
        <w:rPr>
          <w:rFonts w:hint="eastAsia" w:ascii="楷体" w:hAnsi="楷体" w:eastAsia="楷体"/>
          <w:sz w:val="24"/>
          <w:szCs w:val="24"/>
          <w:lang w:eastAsia="zh-CN"/>
        </w:rPr>
        <w:t>资产转让协议</w:t>
      </w:r>
      <w:r>
        <w:rPr>
          <w:rFonts w:ascii="楷体" w:hAnsi="楷体" w:eastAsia="楷体"/>
          <w:sz w:val="24"/>
          <w:szCs w:val="24"/>
        </w:rPr>
        <w:t>》签字盖章页）</w:t>
      </w:r>
    </w:p>
    <w:p>
      <w:pPr>
        <w:spacing w:afterLines="50"/>
        <w:rPr>
          <w:rFonts w:ascii="楷体" w:hAnsi="楷体" w:eastAsia="楷体"/>
          <w:sz w:val="24"/>
          <w:szCs w:val="24"/>
        </w:rPr>
      </w:pPr>
    </w:p>
    <w:p>
      <w:pPr>
        <w:spacing w:afterLines="50" w:line="360" w:lineRule="exact"/>
        <w:rPr>
          <w:rFonts w:ascii="楷体" w:hAnsi="楷体" w:eastAsia="楷体"/>
          <w:sz w:val="24"/>
          <w:szCs w:val="24"/>
        </w:rPr>
      </w:pPr>
    </w:p>
    <w:p>
      <w:pPr>
        <w:spacing w:afterLines="50" w:line="360" w:lineRule="exact"/>
        <w:rPr>
          <w:rFonts w:ascii="楷体" w:hAnsi="楷体" w:eastAsia="楷体"/>
          <w:sz w:val="24"/>
          <w:szCs w:val="24"/>
        </w:rPr>
      </w:pPr>
    </w:p>
    <w:p>
      <w:pPr>
        <w:spacing w:afterLines="50" w:line="360" w:lineRule="exact"/>
        <w:outlineLvl w:val="0"/>
        <w:rPr>
          <w:rFonts w:ascii="楷体" w:hAnsi="楷体" w:eastAsia="楷体"/>
          <w:b/>
          <w:sz w:val="24"/>
          <w:szCs w:val="24"/>
        </w:rPr>
      </w:pPr>
      <w:r>
        <w:rPr>
          <w:rFonts w:ascii="楷体" w:hAnsi="楷体" w:eastAsia="楷体"/>
          <w:b/>
          <w:sz w:val="24"/>
          <w:szCs w:val="24"/>
        </w:rPr>
        <w:t>甲方（公章）：深圳市招商平安资产管理有限责任公司</w:t>
      </w:r>
    </w:p>
    <w:p>
      <w:pPr>
        <w:pStyle w:val="12"/>
        <w:tabs>
          <w:tab w:val="left" w:pos="980"/>
        </w:tabs>
        <w:spacing w:afterLines="50" w:line="360" w:lineRule="exact"/>
        <w:ind w:left="0"/>
        <w:rPr>
          <w:rFonts w:ascii="楷体" w:hAnsi="楷体" w:eastAsia="楷体"/>
          <w:b/>
          <w:szCs w:val="24"/>
        </w:rPr>
      </w:pPr>
    </w:p>
    <w:p>
      <w:pPr>
        <w:pStyle w:val="12"/>
        <w:tabs>
          <w:tab w:val="left" w:pos="980"/>
        </w:tabs>
        <w:spacing w:afterLines="50" w:line="360" w:lineRule="exact"/>
        <w:ind w:left="0"/>
        <w:rPr>
          <w:rFonts w:ascii="楷体" w:hAnsi="楷体" w:eastAsia="楷体"/>
          <w:bCs/>
          <w:szCs w:val="24"/>
        </w:rPr>
      </w:pPr>
      <w:r>
        <w:rPr>
          <w:rFonts w:ascii="楷体" w:hAnsi="楷体" w:eastAsia="楷体"/>
          <w:bCs/>
          <w:szCs w:val="24"/>
        </w:rPr>
        <w:t>法定代表人（签章）：</w:t>
      </w:r>
    </w:p>
    <w:p>
      <w:pPr>
        <w:pStyle w:val="12"/>
        <w:tabs>
          <w:tab w:val="left" w:pos="980"/>
        </w:tabs>
        <w:spacing w:afterLines="50" w:line="360" w:lineRule="exact"/>
        <w:ind w:left="0"/>
        <w:rPr>
          <w:rFonts w:ascii="楷体" w:hAnsi="楷体" w:eastAsia="楷体"/>
          <w:b/>
          <w:szCs w:val="24"/>
        </w:rPr>
      </w:pPr>
    </w:p>
    <w:p>
      <w:pPr>
        <w:pStyle w:val="12"/>
        <w:tabs>
          <w:tab w:val="left" w:pos="980"/>
        </w:tabs>
        <w:spacing w:afterLines="50" w:line="360" w:lineRule="exact"/>
        <w:ind w:left="0"/>
        <w:rPr>
          <w:rFonts w:ascii="楷体" w:hAnsi="楷体" w:eastAsia="楷体"/>
          <w:b/>
          <w:szCs w:val="24"/>
        </w:rPr>
      </w:pPr>
    </w:p>
    <w:p>
      <w:pPr>
        <w:pStyle w:val="12"/>
        <w:tabs>
          <w:tab w:val="left" w:pos="980"/>
        </w:tabs>
        <w:spacing w:afterLines="50" w:line="360" w:lineRule="exact"/>
        <w:ind w:left="0"/>
        <w:rPr>
          <w:rFonts w:ascii="楷体" w:hAnsi="楷体" w:eastAsia="楷体"/>
          <w:b/>
          <w:szCs w:val="24"/>
        </w:rPr>
      </w:pPr>
    </w:p>
    <w:p>
      <w:pPr>
        <w:pStyle w:val="12"/>
        <w:tabs>
          <w:tab w:val="left" w:pos="980"/>
        </w:tabs>
        <w:spacing w:afterLines="50" w:line="360" w:lineRule="exact"/>
        <w:ind w:left="0"/>
        <w:rPr>
          <w:rFonts w:ascii="楷体" w:hAnsi="楷体" w:eastAsia="楷体"/>
          <w:b/>
          <w:szCs w:val="24"/>
        </w:rPr>
      </w:pPr>
      <w:r>
        <w:rPr>
          <w:rFonts w:ascii="楷体" w:hAnsi="楷体" w:eastAsia="楷体"/>
          <w:b/>
          <w:szCs w:val="24"/>
        </w:rPr>
        <w:t>乙方（公章）：</w:t>
      </w:r>
    </w:p>
    <w:p>
      <w:pPr>
        <w:pStyle w:val="12"/>
        <w:tabs>
          <w:tab w:val="left" w:pos="980"/>
        </w:tabs>
        <w:spacing w:afterLines="50" w:line="360" w:lineRule="exact"/>
        <w:ind w:left="0"/>
        <w:rPr>
          <w:rFonts w:ascii="楷体" w:hAnsi="楷体" w:eastAsia="楷体"/>
          <w:b/>
          <w:szCs w:val="24"/>
        </w:rPr>
      </w:pPr>
    </w:p>
    <w:p>
      <w:pPr>
        <w:pStyle w:val="12"/>
        <w:tabs>
          <w:tab w:val="left" w:pos="980"/>
        </w:tabs>
        <w:spacing w:afterLines="50" w:line="360" w:lineRule="exact"/>
        <w:ind w:left="0"/>
        <w:rPr>
          <w:rFonts w:ascii="楷体" w:hAnsi="楷体" w:eastAsia="楷体"/>
          <w:bCs/>
          <w:szCs w:val="24"/>
        </w:rPr>
      </w:pPr>
      <w:r>
        <w:rPr>
          <w:rFonts w:ascii="楷体" w:hAnsi="楷体" w:eastAsia="楷体"/>
          <w:bCs/>
          <w:szCs w:val="24"/>
        </w:rPr>
        <w:t>法定代表人/负责人（签章）：</w:t>
      </w:r>
    </w:p>
    <w:p>
      <w:pPr>
        <w:pStyle w:val="19"/>
        <w:adjustRightInd w:val="0"/>
        <w:snapToGrid w:val="0"/>
        <w:spacing w:beforeLines="0" w:afterLines="50" w:line="360" w:lineRule="exact"/>
        <w:ind w:firstLine="0" w:firstLineChars="0"/>
        <w:rPr>
          <w:rFonts w:ascii="楷体" w:hAnsi="楷体" w:eastAsia="楷体"/>
        </w:rPr>
      </w:pPr>
      <w:bookmarkStart w:id="86" w:name="_Toc4928"/>
      <w:bookmarkStart w:id="87" w:name="_Toc21614"/>
      <w:bookmarkStart w:id="88" w:name="_Toc494225897"/>
      <w:bookmarkStart w:id="89" w:name="_Toc494284923"/>
      <w:bookmarkStart w:id="90" w:name="_Toc494285643"/>
      <w:bookmarkStart w:id="91" w:name="_Toc473908129"/>
      <w:bookmarkStart w:id="92" w:name="_Toc533512289"/>
    </w:p>
    <w:p>
      <w:pPr>
        <w:pStyle w:val="19"/>
        <w:adjustRightInd w:val="0"/>
        <w:snapToGrid w:val="0"/>
        <w:spacing w:beforeLines="0" w:afterLines="100" w:line="300" w:lineRule="auto"/>
        <w:ind w:firstLine="0" w:firstLineChars="0"/>
        <w:rPr>
          <w:rFonts w:ascii="楷体" w:hAnsi="楷体" w:eastAsia="楷体"/>
        </w:rPr>
      </w:pPr>
    </w:p>
    <w:p>
      <w:pPr>
        <w:pStyle w:val="19"/>
        <w:adjustRightInd w:val="0"/>
        <w:snapToGrid w:val="0"/>
        <w:spacing w:beforeLines="0" w:afterLines="100" w:line="300" w:lineRule="auto"/>
        <w:ind w:firstLine="0" w:firstLineChars="0"/>
        <w:rPr>
          <w:rFonts w:ascii="楷体" w:hAnsi="楷体" w:eastAsia="楷体"/>
        </w:rPr>
      </w:pPr>
    </w:p>
    <w:p>
      <w:pPr>
        <w:pStyle w:val="19"/>
        <w:adjustRightInd w:val="0"/>
        <w:snapToGrid w:val="0"/>
        <w:spacing w:beforeLines="0" w:afterLines="100" w:line="300" w:lineRule="auto"/>
        <w:ind w:firstLine="0" w:firstLineChars="0"/>
        <w:rPr>
          <w:rFonts w:ascii="楷体" w:hAnsi="楷体" w:eastAsia="楷体"/>
        </w:rPr>
      </w:pPr>
    </w:p>
    <w:p>
      <w:pPr>
        <w:pStyle w:val="19"/>
        <w:adjustRightInd w:val="0"/>
        <w:snapToGrid w:val="0"/>
        <w:spacing w:beforeLines="0" w:afterLines="100" w:line="300" w:lineRule="auto"/>
        <w:ind w:firstLine="0" w:firstLineChars="0"/>
        <w:rPr>
          <w:rFonts w:ascii="楷体" w:hAnsi="楷体" w:eastAsia="楷体"/>
        </w:rPr>
      </w:pPr>
    </w:p>
    <w:p>
      <w:pPr>
        <w:pStyle w:val="19"/>
        <w:adjustRightInd w:val="0"/>
        <w:snapToGrid w:val="0"/>
        <w:spacing w:beforeLines="0" w:afterLines="100" w:line="300" w:lineRule="auto"/>
        <w:ind w:firstLine="0" w:firstLineChars="0"/>
        <w:rPr>
          <w:rFonts w:ascii="楷体" w:hAnsi="楷体" w:eastAsia="楷体"/>
        </w:rPr>
      </w:pPr>
    </w:p>
    <w:p>
      <w:pPr>
        <w:pStyle w:val="19"/>
        <w:adjustRightInd w:val="0"/>
        <w:snapToGrid w:val="0"/>
        <w:spacing w:beforeLines="0" w:afterLines="100" w:line="300" w:lineRule="auto"/>
        <w:ind w:firstLine="0" w:firstLineChars="0"/>
        <w:rPr>
          <w:rFonts w:ascii="楷体" w:hAnsi="楷体" w:eastAsia="楷体"/>
        </w:rPr>
      </w:pPr>
    </w:p>
    <w:p>
      <w:pPr>
        <w:pStyle w:val="19"/>
        <w:adjustRightInd w:val="0"/>
        <w:snapToGrid w:val="0"/>
        <w:spacing w:beforeLines="0" w:afterLines="100" w:line="300" w:lineRule="auto"/>
        <w:ind w:firstLine="0" w:firstLineChars="0"/>
        <w:rPr>
          <w:rFonts w:ascii="楷体" w:hAnsi="楷体" w:eastAsia="楷体"/>
        </w:rPr>
      </w:pPr>
    </w:p>
    <w:p>
      <w:pPr>
        <w:pStyle w:val="19"/>
        <w:adjustRightInd w:val="0"/>
        <w:snapToGrid w:val="0"/>
        <w:spacing w:beforeLines="0" w:afterLines="100" w:line="300" w:lineRule="auto"/>
        <w:ind w:firstLine="0" w:firstLineChars="0"/>
        <w:rPr>
          <w:rFonts w:ascii="楷体" w:hAnsi="楷体" w:eastAsia="楷体"/>
        </w:rPr>
      </w:pPr>
    </w:p>
    <w:p>
      <w:pPr>
        <w:pStyle w:val="19"/>
        <w:adjustRightInd w:val="0"/>
        <w:snapToGrid w:val="0"/>
        <w:spacing w:beforeLines="0" w:afterLines="100" w:line="300" w:lineRule="auto"/>
        <w:ind w:firstLine="0" w:firstLineChars="0"/>
        <w:rPr>
          <w:rFonts w:ascii="楷体" w:hAnsi="楷体" w:eastAsia="楷体"/>
        </w:rPr>
      </w:pPr>
    </w:p>
    <w:p>
      <w:pPr>
        <w:pStyle w:val="19"/>
        <w:adjustRightInd w:val="0"/>
        <w:snapToGrid w:val="0"/>
        <w:spacing w:beforeLines="0" w:afterLines="100" w:line="300" w:lineRule="auto"/>
        <w:ind w:firstLine="0" w:firstLineChars="0"/>
        <w:rPr>
          <w:rFonts w:ascii="楷体" w:hAnsi="楷体" w:eastAsia="楷体"/>
        </w:rPr>
      </w:pPr>
    </w:p>
    <w:p>
      <w:pPr>
        <w:pStyle w:val="19"/>
        <w:adjustRightInd w:val="0"/>
        <w:snapToGrid w:val="0"/>
        <w:spacing w:beforeLines="0" w:afterLines="50" w:line="360" w:lineRule="exact"/>
        <w:ind w:firstLine="0" w:firstLineChars="0"/>
        <w:outlineLvl w:val="0"/>
        <w:rPr>
          <w:rFonts w:ascii="楷体" w:hAnsi="楷体" w:eastAsia="楷体"/>
        </w:rPr>
      </w:pPr>
      <w:r>
        <w:rPr>
          <w:rFonts w:ascii="楷体" w:hAnsi="楷体" w:eastAsia="楷体"/>
        </w:rPr>
        <w:br w:type="page"/>
      </w:r>
      <w:r>
        <w:rPr>
          <w:rFonts w:ascii="楷体" w:hAnsi="楷体" w:eastAsia="楷体"/>
        </w:rPr>
        <w:t>附件1  标的债权清单</w:t>
      </w:r>
      <w:bookmarkEnd w:id="86"/>
      <w:bookmarkEnd w:id="87"/>
      <w:bookmarkEnd w:id="88"/>
      <w:bookmarkEnd w:id="89"/>
      <w:bookmarkEnd w:id="90"/>
      <w:bookmarkEnd w:id="91"/>
      <w:bookmarkEnd w:id="92"/>
    </w:p>
    <w:tbl>
      <w:tblPr>
        <w:tblStyle w:val="23"/>
        <w:tblW w:w="9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260"/>
        <w:gridCol w:w="844"/>
        <w:gridCol w:w="1091"/>
        <w:gridCol w:w="2032"/>
        <w:gridCol w:w="2221"/>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515" w:type="dxa"/>
            <w:noWrap/>
            <w:vAlign w:val="center"/>
          </w:tcPr>
          <w:p>
            <w:pPr>
              <w:widowControl/>
              <w:adjustRightInd w:val="0"/>
              <w:snapToGrid w:val="0"/>
              <w:jc w:val="center"/>
              <w:textAlignment w:val="center"/>
              <w:rPr>
                <w:rFonts w:ascii="宋体" w:hAnsi="宋体" w:cs="宋体"/>
                <w:sz w:val="16"/>
                <w:szCs w:val="16"/>
              </w:rPr>
            </w:pPr>
            <w:r>
              <w:rPr>
                <w:rFonts w:hint="eastAsia" w:ascii="仿宋" w:hAnsi="仿宋" w:eastAsia="仿宋" w:cs="仿宋"/>
                <w:b/>
                <w:bCs/>
                <w:kern w:val="0"/>
                <w:sz w:val="20"/>
                <w:szCs w:val="20"/>
              </w:rPr>
              <w:t>序号</w:t>
            </w:r>
          </w:p>
        </w:tc>
        <w:tc>
          <w:tcPr>
            <w:tcW w:w="1260" w:type="dxa"/>
            <w:noWrap/>
            <w:vAlign w:val="center"/>
          </w:tcPr>
          <w:p>
            <w:pPr>
              <w:widowControl/>
              <w:adjustRightInd w:val="0"/>
              <w:snapToGrid w:val="0"/>
              <w:jc w:val="center"/>
              <w:textAlignment w:val="center"/>
              <w:rPr>
                <w:rFonts w:ascii="宋体" w:hAnsi="宋体" w:cs="宋体"/>
                <w:sz w:val="16"/>
                <w:szCs w:val="16"/>
              </w:rPr>
            </w:pPr>
            <w:r>
              <w:rPr>
                <w:rFonts w:hint="eastAsia" w:ascii="仿宋" w:hAnsi="仿宋" w:eastAsia="仿宋" w:cs="仿宋"/>
                <w:b/>
                <w:bCs/>
                <w:kern w:val="0"/>
                <w:sz w:val="20"/>
                <w:szCs w:val="20"/>
              </w:rPr>
              <w:t>借款人</w:t>
            </w:r>
          </w:p>
        </w:tc>
        <w:tc>
          <w:tcPr>
            <w:tcW w:w="844" w:type="dxa"/>
            <w:noWrap/>
            <w:vAlign w:val="center"/>
          </w:tcPr>
          <w:p>
            <w:pPr>
              <w:widowControl/>
              <w:adjustRightInd w:val="0"/>
              <w:snapToGrid w:val="0"/>
              <w:jc w:val="center"/>
              <w:textAlignment w:val="center"/>
              <w:rPr>
                <w:rFonts w:ascii="宋体" w:hAnsi="宋体" w:cs="宋体"/>
                <w:sz w:val="16"/>
                <w:szCs w:val="16"/>
              </w:rPr>
            </w:pPr>
            <w:r>
              <w:rPr>
                <w:rFonts w:hint="eastAsia" w:ascii="仿宋" w:hAnsi="仿宋" w:eastAsia="仿宋" w:cs="仿宋"/>
                <w:b/>
                <w:bCs/>
                <w:kern w:val="0"/>
                <w:sz w:val="20"/>
                <w:szCs w:val="20"/>
              </w:rPr>
              <w:t>本金余额</w:t>
            </w:r>
          </w:p>
        </w:tc>
        <w:tc>
          <w:tcPr>
            <w:tcW w:w="1091" w:type="dxa"/>
            <w:noWrap/>
            <w:vAlign w:val="center"/>
          </w:tcPr>
          <w:p>
            <w:pPr>
              <w:widowControl/>
              <w:adjustRightInd w:val="0"/>
              <w:snapToGrid w:val="0"/>
              <w:jc w:val="center"/>
              <w:textAlignment w:val="center"/>
              <w:rPr>
                <w:rFonts w:hint="eastAsia" w:ascii="宋体" w:hAnsi="宋体" w:eastAsia="宋体" w:cs="宋体"/>
                <w:sz w:val="16"/>
                <w:szCs w:val="16"/>
                <w:lang w:eastAsia="zh-CN"/>
              </w:rPr>
            </w:pPr>
            <w:r>
              <w:rPr>
                <w:rFonts w:hint="eastAsia" w:ascii="仿宋" w:hAnsi="仿宋" w:eastAsia="仿宋" w:cs="仿宋"/>
                <w:b/>
                <w:bCs/>
                <w:kern w:val="0"/>
                <w:sz w:val="20"/>
                <w:szCs w:val="20"/>
                <w:lang w:val="en-US" w:eastAsia="zh-CN"/>
              </w:rPr>
              <w:t>利息</w:t>
            </w:r>
          </w:p>
        </w:tc>
        <w:tc>
          <w:tcPr>
            <w:tcW w:w="2032" w:type="dxa"/>
            <w:noWrap/>
            <w:vAlign w:val="center"/>
          </w:tcPr>
          <w:p>
            <w:pPr>
              <w:widowControl/>
              <w:adjustRightInd w:val="0"/>
              <w:snapToGrid w:val="0"/>
              <w:jc w:val="center"/>
              <w:textAlignment w:val="center"/>
              <w:rPr>
                <w:rFonts w:hint="eastAsia" w:ascii="宋体" w:hAnsi="宋体" w:eastAsia="宋体" w:cs="宋体"/>
                <w:sz w:val="16"/>
                <w:szCs w:val="16"/>
                <w:lang w:eastAsia="zh-CN"/>
              </w:rPr>
            </w:pPr>
            <w:r>
              <w:rPr>
                <w:rFonts w:hint="eastAsia" w:ascii="仿宋" w:hAnsi="仿宋" w:eastAsia="仿宋" w:cs="仿宋"/>
                <w:b/>
                <w:bCs/>
                <w:kern w:val="0"/>
                <w:sz w:val="20"/>
                <w:szCs w:val="20"/>
                <w:lang w:val="en-US" w:eastAsia="zh-CN"/>
              </w:rPr>
              <w:t>保证人</w:t>
            </w:r>
          </w:p>
        </w:tc>
        <w:tc>
          <w:tcPr>
            <w:tcW w:w="2221" w:type="dxa"/>
            <w:noWrap/>
            <w:vAlign w:val="center"/>
          </w:tcPr>
          <w:p>
            <w:pPr>
              <w:widowControl/>
              <w:adjustRightInd w:val="0"/>
              <w:snapToGrid w:val="0"/>
              <w:jc w:val="center"/>
              <w:textAlignment w:val="center"/>
              <w:rPr>
                <w:rFonts w:hint="eastAsia" w:ascii="宋体" w:hAnsi="宋体" w:eastAsia="宋体" w:cs="宋体"/>
                <w:sz w:val="16"/>
                <w:szCs w:val="16"/>
                <w:lang w:eastAsia="zh-CN"/>
              </w:rPr>
            </w:pPr>
            <w:r>
              <w:rPr>
                <w:rFonts w:hint="eastAsia" w:ascii="仿宋" w:hAnsi="仿宋" w:eastAsia="仿宋" w:cs="仿宋"/>
                <w:b/>
                <w:bCs/>
                <w:kern w:val="0"/>
                <w:sz w:val="20"/>
                <w:szCs w:val="20"/>
                <w:lang w:val="en-US" w:eastAsia="zh-CN"/>
              </w:rPr>
              <w:t>抵押物</w:t>
            </w:r>
          </w:p>
        </w:tc>
        <w:tc>
          <w:tcPr>
            <w:tcW w:w="1085" w:type="dxa"/>
            <w:noWrap/>
            <w:vAlign w:val="center"/>
          </w:tcPr>
          <w:p>
            <w:pPr>
              <w:widowControl/>
              <w:adjustRightInd w:val="0"/>
              <w:snapToGrid w:val="0"/>
              <w:jc w:val="center"/>
              <w:textAlignment w:val="center"/>
              <w:rPr>
                <w:rFonts w:hint="eastAsia" w:ascii="宋体" w:hAnsi="宋体" w:eastAsia="宋体" w:cs="宋体"/>
                <w:sz w:val="16"/>
                <w:szCs w:val="16"/>
                <w:lang w:eastAsia="zh-CN"/>
              </w:rPr>
            </w:pPr>
            <w:r>
              <w:rPr>
                <w:rFonts w:hint="eastAsia" w:ascii="仿宋" w:hAnsi="仿宋" w:eastAsia="仿宋" w:cs="仿宋"/>
                <w:b/>
                <w:bCs/>
                <w:kern w:val="0"/>
                <w:sz w:val="20"/>
                <w:szCs w:val="20"/>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pPr>
            <w:r>
              <w:rPr>
                <w:rFonts w:hint="eastAsia" w:ascii="宋体" w:hAnsi="宋体" w:eastAsia="宋体" w:cs="宋体"/>
                <w:b w:val="0"/>
                <w:bCs w:val="0"/>
                <w:i w:val="0"/>
                <w:iCs w:val="0"/>
                <w:color w:val="auto"/>
                <w:kern w:val="0"/>
                <w:sz w:val="18"/>
                <w:szCs w:val="18"/>
                <w:highlight w:val="none"/>
                <w:u w:val="none"/>
                <w:lang w:val="en-US" w:eastAsia="zh-CN" w:bidi="ar"/>
              </w:rPr>
              <w:t>1</w:t>
            </w:r>
          </w:p>
        </w:tc>
        <w:tc>
          <w:tcPr>
            <w:tcW w:w="126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sz w:val="16"/>
                <w:szCs w:val="16"/>
              </w:rPr>
            </w:pPr>
            <w:r>
              <w:rPr>
                <w:rFonts w:hint="eastAsia" w:ascii="宋体" w:hAnsi="宋体" w:eastAsia="宋体" w:cs="宋体"/>
                <w:b w:val="0"/>
                <w:bCs w:val="0"/>
                <w:i w:val="0"/>
                <w:iCs w:val="0"/>
                <w:color w:val="auto"/>
                <w:kern w:val="0"/>
                <w:sz w:val="18"/>
                <w:szCs w:val="18"/>
                <w:highlight w:val="none"/>
                <w:u w:val="none"/>
                <w:lang w:val="en-US" w:eastAsia="zh-CN" w:bidi="ar"/>
              </w:rPr>
              <w:t>广州宏信企业有限公司</w:t>
            </w:r>
          </w:p>
        </w:tc>
        <w:tc>
          <w:tcPr>
            <w:tcW w:w="84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sz w:val="16"/>
                <w:szCs w:val="16"/>
              </w:rPr>
            </w:pPr>
            <w:r>
              <w:rPr>
                <w:rFonts w:hint="eastAsia" w:ascii="宋体" w:hAnsi="宋体" w:eastAsia="宋体" w:cs="宋体"/>
                <w:b w:val="0"/>
                <w:bCs w:val="0"/>
                <w:i w:val="0"/>
                <w:iCs w:val="0"/>
                <w:color w:val="auto"/>
                <w:kern w:val="0"/>
                <w:sz w:val="18"/>
                <w:szCs w:val="18"/>
                <w:highlight w:val="none"/>
                <w:u w:val="none"/>
                <w:lang w:val="en-US" w:eastAsia="zh-CN" w:bidi="ar"/>
              </w:rPr>
              <w:t>505.92</w:t>
            </w:r>
          </w:p>
        </w:tc>
        <w:tc>
          <w:tcPr>
            <w:tcW w:w="1091"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sz w:val="16"/>
                <w:szCs w:val="16"/>
              </w:rPr>
            </w:pPr>
            <w:r>
              <w:rPr>
                <w:rFonts w:hint="eastAsia" w:ascii="宋体" w:hAnsi="宋体" w:eastAsia="宋体" w:cs="宋体"/>
                <w:b w:val="0"/>
                <w:bCs w:val="0"/>
                <w:i w:val="0"/>
                <w:iCs w:val="0"/>
                <w:color w:val="auto"/>
                <w:kern w:val="0"/>
                <w:sz w:val="18"/>
                <w:szCs w:val="18"/>
                <w:highlight w:val="none"/>
                <w:u w:val="none"/>
                <w:lang w:val="en-US" w:eastAsia="zh-CN" w:bidi="ar"/>
              </w:rPr>
              <w:t>609.48</w:t>
            </w:r>
          </w:p>
        </w:tc>
        <w:tc>
          <w:tcPr>
            <w:tcW w:w="203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sz w:val="16"/>
                <w:szCs w:val="16"/>
              </w:rPr>
            </w:pPr>
            <w:r>
              <w:rPr>
                <w:rFonts w:hint="eastAsia" w:ascii="宋体" w:hAnsi="宋体" w:eastAsia="宋体" w:cs="宋体"/>
                <w:b w:val="0"/>
                <w:bCs w:val="0"/>
                <w:i w:val="0"/>
                <w:iCs w:val="0"/>
                <w:color w:val="auto"/>
                <w:kern w:val="0"/>
                <w:sz w:val="18"/>
                <w:szCs w:val="18"/>
                <w:highlight w:val="none"/>
                <w:u w:val="none"/>
                <w:lang w:val="en-US" w:eastAsia="zh-CN" w:bidi="ar"/>
              </w:rPr>
              <w:t>赖智良、沈建梅</w:t>
            </w:r>
            <w:bookmarkStart w:id="119" w:name="_GoBack"/>
            <w:bookmarkEnd w:id="119"/>
          </w:p>
        </w:tc>
        <w:tc>
          <w:tcPr>
            <w:tcW w:w="2221"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sz w:val="16"/>
                <w:szCs w:val="16"/>
              </w:rPr>
            </w:pPr>
            <w:r>
              <w:rPr>
                <w:rFonts w:hint="eastAsia" w:ascii="宋体" w:hAnsi="宋体" w:eastAsia="宋体" w:cs="宋体"/>
                <w:b w:val="0"/>
                <w:bCs w:val="0"/>
                <w:i w:val="0"/>
                <w:iCs w:val="0"/>
                <w:color w:val="auto"/>
                <w:kern w:val="0"/>
                <w:sz w:val="18"/>
                <w:szCs w:val="18"/>
                <w:highlight w:val="none"/>
                <w:u w:val="none"/>
                <w:lang w:val="en-US" w:eastAsia="zh-CN" w:bidi="ar"/>
              </w:rPr>
              <w:t>无</w:t>
            </w:r>
          </w:p>
        </w:tc>
        <w:tc>
          <w:tcPr>
            <w:tcW w:w="108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宋体" w:hAnsi="宋体" w:eastAsia="宋体" w:cs="宋体"/>
                <w:sz w:val="16"/>
                <w:szCs w:val="16"/>
                <w:lang w:val="en-US" w:eastAsia="zh-CN"/>
              </w:rPr>
            </w:pPr>
            <w:r>
              <w:rPr>
                <w:rFonts w:hint="eastAsia" w:ascii="宋体" w:hAnsi="宋体" w:eastAsia="宋体" w:cs="宋体"/>
                <w:b w:val="0"/>
                <w:bCs w:val="0"/>
                <w:i w:val="0"/>
                <w:iCs w:val="0"/>
                <w:color w:val="auto"/>
                <w:kern w:val="0"/>
                <w:sz w:val="18"/>
                <w:szCs w:val="18"/>
                <w:highlight w:val="none"/>
                <w:u w:val="none"/>
                <w:lang w:val="en-US" w:eastAsia="zh-CN" w:bidi="ar"/>
              </w:rPr>
              <w:t>利息暂计日为2019年12月31日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51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126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广州市聚文轩珠宝首饰有限公司</w:t>
            </w:r>
          </w:p>
        </w:tc>
        <w:tc>
          <w:tcPr>
            <w:tcW w:w="84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480</w:t>
            </w:r>
          </w:p>
        </w:tc>
        <w:tc>
          <w:tcPr>
            <w:tcW w:w="1091"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233.08</w:t>
            </w:r>
          </w:p>
        </w:tc>
        <w:tc>
          <w:tcPr>
            <w:tcW w:w="203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1、广州生辉金行有限公司；2、广州宏信企业有限公司</w:t>
            </w:r>
          </w:p>
        </w:tc>
        <w:tc>
          <w:tcPr>
            <w:tcW w:w="2221"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无</w:t>
            </w:r>
          </w:p>
        </w:tc>
        <w:tc>
          <w:tcPr>
            <w:tcW w:w="108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cs="宋体"/>
                <w:sz w:val="16"/>
                <w:szCs w:val="16"/>
                <w:lang w:val="en-US" w:eastAsia="zh-CN"/>
              </w:rPr>
            </w:pPr>
            <w:r>
              <w:rPr>
                <w:rFonts w:hint="eastAsia" w:ascii="宋体" w:hAnsi="宋体" w:eastAsia="宋体" w:cs="宋体"/>
                <w:b w:val="0"/>
                <w:bCs w:val="0"/>
                <w:i w:val="0"/>
                <w:iCs w:val="0"/>
                <w:color w:val="auto"/>
                <w:kern w:val="0"/>
                <w:sz w:val="18"/>
                <w:szCs w:val="18"/>
                <w:highlight w:val="none"/>
                <w:u w:val="none"/>
                <w:lang w:val="en-US" w:eastAsia="zh-CN" w:bidi="ar"/>
              </w:rPr>
              <w:t>利息暂计日为2019年12月31日</w:t>
            </w:r>
          </w:p>
        </w:tc>
      </w:tr>
    </w:tbl>
    <w:p>
      <w:pPr>
        <w:pStyle w:val="19"/>
        <w:adjustRightInd w:val="0"/>
        <w:snapToGrid w:val="0"/>
        <w:spacing w:beforeLines="0" w:afterLines="50" w:line="360" w:lineRule="exact"/>
        <w:ind w:firstLine="0" w:firstLineChars="0"/>
        <w:outlineLvl w:val="0"/>
        <w:rPr>
          <w:rFonts w:ascii="楷体" w:hAnsi="楷体" w:eastAsia="楷体"/>
          <w:b w:val="0"/>
          <w:bCs w:val="0"/>
        </w:rPr>
      </w:pPr>
      <w:r>
        <w:rPr>
          <w:rFonts w:hint="eastAsia" w:ascii="楷体" w:hAnsi="楷体" w:eastAsia="楷体"/>
          <w:b w:val="0"/>
          <w:bCs w:val="0"/>
        </w:rPr>
        <w:t>注：具体债权金额以法院生效文书以及相关合同记载为准。</w:t>
      </w:r>
    </w:p>
    <w:p>
      <w:pPr>
        <w:spacing w:afterLines="50" w:line="360" w:lineRule="exact"/>
        <w:rPr>
          <w:rFonts w:ascii="楷体" w:hAnsi="楷体" w:eastAsia="楷体"/>
          <w:bCs/>
          <w:sz w:val="24"/>
          <w:szCs w:val="24"/>
        </w:rPr>
      </w:pPr>
    </w:p>
    <w:p>
      <w:pPr>
        <w:spacing w:afterLines="50" w:line="360" w:lineRule="exact"/>
        <w:rPr>
          <w:rFonts w:ascii="楷体" w:hAnsi="楷体" w:eastAsia="楷体"/>
          <w:bCs/>
          <w:sz w:val="24"/>
          <w:szCs w:val="24"/>
          <w:u w:val="single"/>
        </w:rPr>
      </w:pPr>
      <w:r>
        <w:rPr>
          <w:rFonts w:hint="eastAsia" w:ascii="楷体" w:hAnsi="楷体" w:eastAsia="楷体"/>
          <w:bCs/>
          <w:sz w:val="24"/>
          <w:szCs w:val="24"/>
        </w:rPr>
        <w:t>转让方：</w:t>
      </w:r>
      <w:r>
        <w:rPr>
          <w:rFonts w:ascii="楷体" w:hAnsi="楷体" w:eastAsia="楷体"/>
          <w:bCs/>
          <w:sz w:val="24"/>
          <w:szCs w:val="24"/>
        </w:rPr>
        <w:t>深圳市招商平安资产管理有限责任公司（盖章）</w:t>
      </w:r>
    </w:p>
    <w:p>
      <w:pPr>
        <w:spacing w:afterLines="50" w:line="360" w:lineRule="exact"/>
        <w:rPr>
          <w:rFonts w:ascii="楷体" w:hAnsi="楷体" w:eastAsia="楷体"/>
          <w:bCs/>
          <w:sz w:val="24"/>
          <w:szCs w:val="24"/>
        </w:rPr>
      </w:pPr>
    </w:p>
    <w:p>
      <w:pPr>
        <w:spacing w:afterLines="50" w:line="360" w:lineRule="exact"/>
        <w:rPr>
          <w:rFonts w:ascii="楷体" w:hAnsi="楷体" w:eastAsia="楷体"/>
          <w:sz w:val="24"/>
          <w:szCs w:val="24"/>
        </w:rPr>
      </w:pPr>
      <w:r>
        <w:rPr>
          <w:rFonts w:hint="eastAsia" w:ascii="楷体" w:hAnsi="楷体" w:eastAsia="楷体"/>
          <w:bCs/>
          <w:sz w:val="24"/>
          <w:szCs w:val="24"/>
        </w:rPr>
        <w:t>受让方：</w:t>
      </w:r>
      <w:r>
        <w:rPr>
          <w:rFonts w:ascii="楷体" w:hAnsi="楷体" w:eastAsia="楷体"/>
          <w:sz w:val="24"/>
          <w:szCs w:val="24"/>
        </w:rPr>
        <w:t>（盖章）</w:t>
      </w:r>
      <w:bookmarkStart w:id="93" w:name="_Toc494285658"/>
      <w:bookmarkStart w:id="94" w:name="_Toc494225898"/>
      <w:bookmarkStart w:id="95" w:name="_Toc494284938"/>
      <w:bookmarkStart w:id="96" w:name="_Toc473908130"/>
    </w:p>
    <w:p>
      <w:pPr>
        <w:spacing w:afterLines="50" w:line="360" w:lineRule="exact"/>
        <w:rPr>
          <w:rFonts w:ascii="楷体" w:hAnsi="楷体" w:eastAsia="楷体"/>
          <w:sz w:val="24"/>
          <w:szCs w:val="24"/>
        </w:rPr>
      </w:pPr>
    </w:p>
    <w:p>
      <w:pPr>
        <w:pStyle w:val="19"/>
        <w:adjustRightInd w:val="0"/>
        <w:snapToGrid w:val="0"/>
        <w:spacing w:beforeLines="0" w:afterLines="50" w:line="360" w:lineRule="exact"/>
        <w:ind w:firstLine="0" w:firstLineChars="0"/>
        <w:outlineLvl w:val="0"/>
        <w:rPr>
          <w:rFonts w:ascii="楷体" w:hAnsi="楷体" w:eastAsia="楷体"/>
        </w:rPr>
      </w:pPr>
      <w:r>
        <w:rPr>
          <w:rFonts w:ascii="楷体" w:hAnsi="楷体" w:eastAsia="楷体"/>
        </w:rPr>
        <w:br w:type="page"/>
      </w:r>
      <w:bookmarkStart w:id="97" w:name="_Toc533512291"/>
      <w:bookmarkStart w:id="98" w:name="_Toc18655"/>
      <w:bookmarkStart w:id="99" w:name="_Toc32403"/>
      <w:r>
        <w:rPr>
          <w:rFonts w:ascii="楷体" w:hAnsi="楷体" w:eastAsia="楷体"/>
        </w:rPr>
        <w:t>附件2  债权文件收据</w:t>
      </w:r>
      <w:bookmarkEnd w:id="93"/>
      <w:bookmarkEnd w:id="94"/>
      <w:bookmarkEnd w:id="95"/>
      <w:bookmarkEnd w:id="96"/>
      <w:bookmarkEnd w:id="97"/>
      <w:bookmarkEnd w:id="98"/>
      <w:bookmarkEnd w:id="99"/>
    </w:p>
    <w:p>
      <w:pPr>
        <w:pStyle w:val="2"/>
        <w:spacing w:afterLines="50" w:line="360" w:lineRule="exact"/>
        <w:rPr>
          <w:rFonts w:ascii="楷体" w:hAnsi="楷体" w:eastAsia="楷体"/>
          <w:color w:val="auto"/>
          <w:kern w:val="2"/>
        </w:rPr>
      </w:pPr>
    </w:p>
    <w:p>
      <w:pPr>
        <w:pStyle w:val="2"/>
        <w:spacing w:afterLines="50" w:line="360" w:lineRule="exact"/>
        <w:jc w:val="center"/>
        <w:rPr>
          <w:rFonts w:ascii="楷体" w:hAnsi="楷体" w:eastAsia="楷体"/>
          <w:b/>
          <w:color w:val="auto"/>
          <w:kern w:val="2"/>
        </w:rPr>
      </w:pPr>
      <w:r>
        <w:rPr>
          <w:rFonts w:ascii="楷体" w:hAnsi="楷体" w:eastAsia="楷体"/>
          <w:b/>
          <w:color w:val="auto"/>
          <w:kern w:val="2"/>
        </w:rPr>
        <w:t>债权文件收据</w:t>
      </w:r>
    </w:p>
    <w:p>
      <w:pPr>
        <w:pStyle w:val="2"/>
        <w:spacing w:afterLines="50" w:line="360" w:lineRule="exact"/>
        <w:rPr>
          <w:rFonts w:ascii="楷体" w:hAnsi="楷体" w:eastAsia="楷体"/>
          <w:color w:val="auto"/>
          <w:kern w:val="2"/>
        </w:rPr>
      </w:pPr>
      <w:r>
        <w:rPr>
          <w:rFonts w:ascii="楷体" w:hAnsi="楷体" w:eastAsia="楷体"/>
          <w:color w:val="auto"/>
          <w:kern w:val="2"/>
        </w:rPr>
        <w:t xml:space="preserve">     根据</w:t>
      </w:r>
      <w:r>
        <w:rPr>
          <w:rFonts w:ascii="楷体" w:hAnsi="楷体" w:eastAsia="楷体" w:cs="楷体"/>
          <w:color w:val="auto"/>
          <w:kern w:val="2"/>
        </w:rPr>
        <w:t xml:space="preserve"> 深圳市招商平安资产管理有限责任公司</w:t>
      </w:r>
      <w:r>
        <w:rPr>
          <w:rFonts w:ascii="楷体" w:hAnsi="楷体" w:eastAsia="楷体"/>
          <w:color w:val="auto"/>
          <w:kern w:val="2"/>
        </w:rPr>
        <w:t>（“转让方”）</w:t>
      </w:r>
      <w:r>
        <w:rPr>
          <w:rFonts w:ascii="楷体" w:hAnsi="楷体" w:eastAsia="楷体"/>
          <w:bCs/>
          <w:color w:val="auto"/>
        </w:rPr>
        <w:t>与</w:t>
      </w:r>
      <w:r>
        <w:rPr>
          <w:rFonts w:ascii="楷体" w:hAnsi="楷体" w:eastAsia="楷体" w:cs="楷体"/>
          <w:color w:val="auto"/>
          <w:kern w:val="2"/>
        </w:rPr>
        <w:t xml:space="preserve">        公司</w:t>
      </w:r>
      <w:r>
        <w:rPr>
          <w:rFonts w:ascii="楷体" w:hAnsi="楷体" w:eastAsia="楷体"/>
          <w:color w:val="auto"/>
          <w:kern w:val="2"/>
        </w:rPr>
        <w:t>（“受让方”）于</w:t>
      </w:r>
      <w:r>
        <w:rPr>
          <w:rFonts w:ascii="楷体" w:hAnsi="楷体" w:eastAsia="楷体" w:cs="楷体"/>
          <w:color w:val="auto"/>
          <w:kern w:val="2"/>
        </w:rPr>
        <w:t xml:space="preserve">       </w:t>
      </w:r>
      <w:r>
        <w:rPr>
          <w:rFonts w:ascii="楷体" w:hAnsi="楷体" w:eastAsia="楷体"/>
          <w:color w:val="auto"/>
          <w:kern w:val="2"/>
        </w:rPr>
        <w:t>年</w:t>
      </w:r>
      <w:r>
        <w:rPr>
          <w:rFonts w:ascii="楷体" w:hAnsi="楷体" w:eastAsia="楷体" w:cs="楷体"/>
          <w:color w:val="auto"/>
          <w:kern w:val="2"/>
        </w:rPr>
        <w:t xml:space="preserve">    </w:t>
      </w:r>
      <w:r>
        <w:rPr>
          <w:rFonts w:ascii="楷体" w:hAnsi="楷体" w:eastAsia="楷体"/>
          <w:color w:val="auto"/>
          <w:kern w:val="2"/>
        </w:rPr>
        <w:t>月</w:t>
      </w:r>
      <w:r>
        <w:rPr>
          <w:rFonts w:ascii="楷体" w:hAnsi="楷体" w:eastAsia="楷体" w:cs="楷体"/>
          <w:color w:val="auto"/>
          <w:kern w:val="2"/>
        </w:rPr>
        <w:t xml:space="preserve">    </w:t>
      </w:r>
      <w:r>
        <w:rPr>
          <w:rFonts w:ascii="楷体" w:hAnsi="楷体" w:eastAsia="楷体"/>
          <w:color w:val="auto"/>
          <w:kern w:val="2"/>
        </w:rPr>
        <w:t>日签署的《</w:t>
      </w:r>
      <w:r>
        <w:rPr>
          <w:rFonts w:hint="eastAsia" w:ascii="楷体" w:hAnsi="楷体" w:eastAsia="楷体"/>
          <w:color w:val="auto"/>
          <w:kern w:val="2"/>
          <w:lang w:eastAsia="zh-CN"/>
        </w:rPr>
        <w:t>资产转让协议</w:t>
      </w:r>
      <w:r>
        <w:rPr>
          <w:rFonts w:ascii="楷体" w:hAnsi="楷体" w:eastAsia="楷体"/>
          <w:color w:val="auto"/>
          <w:kern w:val="2"/>
        </w:rPr>
        <w:t>》的相关约定，“受让方”兹确认于</w:t>
      </w:r>
      <w:r>
        <w:rPr>
          <w:rFonts w:ascii="楷体" w:hAnsi="楷体" w:eastAsia="楷体" w:cs="楷体"/>
          <w:color w:val="auto"/>
          <w:kern w:val="2"/>
        </w:rPr>
        <w:t xml:space="preserve">       </w:t>
      </w:r>
      <w:r>
        <w:rPr>
          <w:rFonts w:ascii="楷体" w:hAnsi="楷体" w:eastAsia="楷体"/>
          <w:color w:val="auto"/>
          <w:kern w:val="2"/>
        </w:rPr>
        <w:t>年</w:t>
      </w:r>
      <w:r>
        <w:rPr>
          <w:rFonts w:ascii="楷体" w:hAnsi="楷体" w:eastAsia="楷体" w:cs="楷体"/>
          <w:color w:val="auto"/>
          <w:kern w:val="2"/>
        </w:rPr>
        <w:t xml:space="preserve">    </w:t>
      </w:r>
      <w:r>
        <w:rPr>
          <w:rFonts w:ascii="楷体" w:hAnsi="楷体" w:eastAsia="楷体"/>
          <w:color w:val="auto"/>
          <w:kern w:val="2"/>
        </w:rPr>
        <w:t>月</w:t>
      </w:r>
      <w:r>
        <w:rPr>
          <w:rFonts w:ascii="楷体" w:hAnsi="楷体" w:eastAsia="楷体" w:cs="楷体"/>
          <w:color w:val="auto"/>
          <w:kern w:val="2"/>
        </w:rPr>
        <w:t xml:space="preserve">    </w:t>
      </w:r>
      <w:r>
        <w:rPr>
          <w:rFonts w:ascii="楷体" w:hAnsi="楷体" w:eastAsia="楷体"/>
          <w:color w:val="auto"/>
          <w:kern w:val="2"/>
        </w:rPr>
        <w:t>日自“转让方”处收到附表A《债权文件清单》中所列债权的债权文件。</w:t>
      </w:r>
    </w:p>
    <w:p>
      <w:pPr>
        <w:spacing w:afterLines="50"/>
        <w:rPr>
          <w:rFonts w:ascii="楷体" w:hAnsi="楷体" w:eastAsia="楷体"/>
        </w:rPr>
      </w:pPr>
    </w:p>
    <w:p>
      <w:pPr>
        <w:spacing w:afterLines="50"/>
        <w:rPr>
          <w:rFonts w:ascii="楷体" w:hAnsi="楷体" w:eastAsia="楷体"/>
        </w:rPr>
      </w:pPr>
    </w:p>
    <w:p>
      <w:pPr>
        <w:pStyle w:val="2"/>
        <w:spacing w:afterLines="50" w:line="360" w:lineRule="exact"/>
        <w:rPr>
          <w:rFonts w:ascii="楷体" w:hAnsi="楷体" w:eastAsia="楷体"/>
          <w:color w:val="auto"/>
          <w:kern w:val="2"/>
        </w:rPr>
      </w:pPr>
    </w:p>
    <w:p>
      <w:pPr>
        <w:pStyle w:val="2"/>
        <w:spacing w:afterLines="50" w:line="360" w:lineRule="exact"/>
        <w:rPr>
          <w:rFonts w:ascii="楷体" w:hAnsi="楷体" w:eastAsia="楷体"/>
          <w:color w:val="auto"/>
          <w:kern w:val="2"/>
        </w:rPr>
      </w:pPr>
      <w:r>
        <w:rPr>
          <w:rFonts w:hint="eastAsia" w:ascii="楷体" w:hAnsi="楷体" w:eastAsia="楷体" w:cs="楷体"/>
          <w:color w:val="auto"/>
          <w:kern w:val="2"/>
          <w:lang w:val="en-US" w:eastAsia="zh-CN"/>
        </w:rPr>
        <w:t>转让方：</w:t>
      </w:r>
      <w:r>
        <w:rPr>
          <w:rFonts w:ascii="楷体" w:hAnsi="楷体" w:eastAsia="楷体" w:cs="楷体"/>
          <w:color w:val="auto"/>
          <w:kern w:val="2"/>
        </w:rPr>
        <w:t>深圳市招商平安资产管理有限责任公司</w:t>
      </w:r>
      <w:r>
        <w:rPr>
          <w:rFonts w:ascii="楷体" w:hAnsi="楷体" w:eastAsia="楷体"/>
          <w:color w:val="auto"/>
          <w:kern w:val="2"/>
        </w:rPr>
        <w:t xml:space="preserve">（公章）                        </w:t>
      </w:r>
    </w:p>
    <w:p>
      <w:pPr>
        <w:pStyle w:val="2"/>
        <w:spacing w:afterLines="50" w:line="360" w:lineRule="exact"/>
        <w:rPr>
          <w:rFonts w:ascii="楷体" w:hAnsi="楷体" w:eastAsia="楷体"/>
          <w:color w:val="auto"/>
          <w:kern w:val="2"/>
        </w:rPr>
      </w:pPr>
      <w:r>
        <w:rPr>
          <w:rFonts w:ascii="楷体" w:hAnsi="楷体" w:eastAsia="楷体"/>
          <w:color w:val="auto"/>
          <w:kern w:val="2"/>
        </w:rPr>
        <w:t>法定代表人：</w:t>
      </w:r>
      <w:r>
        <w:rPr>
          <w:rFonts w:ascii="楷体" w:hAnsi="楷体" w:eastAsia="楷体" w:cs="楷体"/>
          <w:color w:val="auto"/>
          <w:kern w:val="2"/>
        </w:rPr>
        <w:tab/>
      </w:r>
      <w:r>
        <w:rPr>
          <w:rFonts w:ascii="楷体" w:hAnsi="楷体" w:eastAsia="楷体"/>
          <w:color w:val="auto"/>
          <w:kern w:val="2"/>
        </w:rPr>
        <w:t xml:space="preserve">                                                   　　     </w:t>
      </w:r>
    </w:p>
    <w:p>
      <w:pPr>
        <w:spacing w:afterLines="50"/>
        <w:rPr>
          <w:rFonts w:ascii="楷体" w:hAnsi="楷体" w:eastAsia="楷体"/>
          <w:b/>
        </w:rPr>
      </w:pPr>
    </w:p>
    <w:p>
      <w:pPr>
        <w:spacing w:afterLines="50"/>
        <w:rPr>
          <w:rFonts w:ascii="楷体" w:hAnsi="楷体" w:eastAsia="楷体"/>
          <w:b/>
        </w:rPr>
      </w:pPr>
    </w:p>
    <w:p>
      <w:pPr>
        <w:pStyle w:val="2"/>
        <w:spacing w:afterLines="50" w:line="360" w:lineRule="exact"/>
        <w:rPr>
          <w:rFonts w:ascii="楷体" w:hAnsi="楷体" w:eastAsia="楷体"/>
          <w:b/>
          <w:color w:val="auto"/>
          <w:kern w:val="2"/>
        </w:rPr>
      </w:pPr>
    </w:p>
    <w:p>
      <w:pPr>
        <w:pStyle w:val="2"/>
        <w:spacing w:afterLines="50" w:line="360" w:lineRule="exact"/>
        <w:rPr>
          <w:rFonts w:ascii="楷体" w:hAnsi="楷体" w:eastAsia="楷体"/>
          <w:color w:val="auto"/>
          <w:kern w:val="2"/>
        </w:rPr>
      </w:pPr>
      <w:r>
        <w:rPr>
          <w:rFonts w:hint="eastAsia" w:ascii="楷体" w:hAnsi="楷体" w:eastAsia="楷体" w:cs="楷体"/>
          <w:color w:val="auto"/>
          <w:kern w:val="2"/>
          <w:lang w:val="en-US" w:eastAsia="zh-CN"/>
        </w:rPr>
        <w:t>受让方：</w:t>
      </w:r>
      <w:r>
        <w:rPr>
          <w:rFonts w:ascii="楷体" w:hAnsi="楷体" w:eastAsia="楷体" w:cs="楷体"/>
          <w:color w:val="auto"/>
          <w:kern w:val="2"/>
        </w:rPr>
        <w:t xml:space="preserve">             </w:t>
      </w:r>
      <w:r>
        <w:rPr>
          <w:rFonts w:ascii="楷体" w:hAnsi="楷体" w:eastAsia="楷体"/>
          <w:color w:val="auto"/>
          <w:kern w:val="2"/>
        </w:rPr>
        <w:t xml:space="preserve">     </w:t>
      </w:r>
    </w:p>
    <w:p>
      <w:pPr>
        <w:pStyle w:val="2"/>
        <w:spacing w:afterLines="50" w:line="360" w:lineRule="exact"/>
        <w:rPr>
          <w:rFonts w:ascii="楷体" w:hAnsi="楷体" w:eastAsia="楷体"/>
          <w:color w:val="auto"/>
          <w:kern w:val="2"/>
        </w:rPr>
      </w:pPr>
      <w:r>
        <w:rPr>
          <w:rFonts w:ascii="楷体" w:hAnsi="楷体" w:eastAsia="楷体"/>
          <w:color w:val="auto"/>
          <w:kern w:val="2"/>
        </w:rPr>
        <w:t>签字代表：</w:t>
      </w:r>
    </w:p>
    <w:p>
      <w:pPr>
        <w:pStyle w:val="2"/>
        <w:spacing w:afterLines="50" w:line="360" w:lineRule="exact"/>
        <w:rPr>
          <w:rFonts w:ascii="楷体" w:hAnsi="楷体" w:eastAsia="楷体"/>
          <w:color w:val="auto"/>
          <w:kern w:val="2"/>
        </w:rPr>
      </w:pPr>
      <w:r>
        <w:rPr>
          <w:rFonts w:ascii="楷体" w:hAnsi="楷体" w:eastAsia="楷体"/>
          <w:color w:val="auto"/>
          <w:kern w:val="2"/>
        </w:rPr>
        <w:t xml:space="preserve">日期： </w:t>
      </w:r>
      <w:r>
        <w:rPr>
          <w:rFonts w:ascii="楷体" w:hAnsi="楷体" w:eastAsia="楷体" w:cs="楷体"/>
          <w:color w:val="auto"/>
          <w:kern w:val="2"/>
        </w:rPr>
        <w:t xml:space="preserve">        </w:t>
      </w:r>
      <w:r>
        <w:rPr>
          <w:rFonts w:ascii="楷体" w:hAnsi="楷体" w:eastAsia="楷体"/>
          <w:color w:val="auto"/>
          <w:kern w:val="2"/>
        </w:rPr>
        <w:t>年</w:t>
      </w:r>
      <w:r>
        <w:rPr>
          <w:rFonts w:ascii="楷体" w:hAnsi="楷体" w:eastAsia="楷体" w:cs="楷体"/>
          <w:color w:val="auto"/>
          <w:kern w:val="2"/>
        </w:rPr>
        <w:t xml:space="preserve">    </w:t>
      </w:r>
      <w:r>
        <w:rPr>
          <w:rFonts w:ascii="楷体" w:hAnsi="楷体" w:eastAsia="楷体"/>
          <w:color w:val="auto"/>
          <w:kern w:val="2"/>
        </w:rPr>
        <w:t>月</w:t>
      </w:r>
      <w:r>
        <w:rPr>
          <w:rFonts w:ascii="楷体" w:hAnsi="楷体" w:eastAsia="楷体" w:cs="楷体"/>
          <w:color w:val="auto"/>
          <w:kern w:val="2"/>
        </w:rPr>
        <w:t xml:space="preserve">   </w:t>
      </w:r>
      <w:r>
        <w:rPr>
          <w:rFonts w:ascii="楷体" w:hAnsi="楷体" w:eastAsia="楷体"/>
          <w:color w:val="auto"/>
          <w:kern w:val="2"/>
        </w:rPr>
        <w:t>日</w:t>
      </w:r>
    </w:p>
    <w:p>
      <w:pPr>
        <w:pStyle w:val="2"/>
        <w:spacing w:afterLines="50" w:line="360" w:lineRule="exact"/>
        <w:rPr>
          <w:rFonts w:ascii="楷体" w:hAnsi="楷体" w:eastAsia="楷体"/>
          <w:color w:val="auto"/>
          <w:kern w:val="2"/>
        </w:rPr>
      </w:pPr>
    </w:p>
    <w:p>
      <w:pPr>
        <w:pStyle w:val="2"/>
        <w:spacing w:afterLines="50" w:line="360" w:lineRule="exact"/>
        <w:rPr>
          <w:rFonts w:ascii="楷体" w:hAnsi="楷体" w:eastAsia="楷体"/>
          <w:color w:val="auto"/>
          <w:kern w:val="2"/>
        </w:rPr>
      </w:pPr>
    </w:p>
    <w:p>
      <w:pPr>
        <w:pStyle w:val="2"/>
        <w:spacing w:afterLines="50" w:line="360" w:lineRule="exact"/>
        <w:rPr>
          <w:rFonts w:ascii="楷体" w:hAnsi="楷体" w:eastAsia="楷体"/>
          <w:color w:val="auto"/>
          <w:kern w:val="2"/>
        </w:rPr>
      </w:pPr>
    </w:p>
    <w:p>
      <w:pPr>
        <w:pStyle w:val="2"/>
        <w:spacing w:afterLines="50" w:line="360" w:lineRule="exact"/>
        <w:rPr>
          <w:rFonts w:ascii="楷体" w:hAnsi="楷体" w:eastAsia="楷体"/>
          <w:b/>
          <w:color w:val="auto"/>
          <w:kern w:val="2"/>
        </w:rPr>
      </w:pPr>
      <w:r>
        <w:rPr>
          <w:rFonts w:ascii="楷体" w:hAnsi="楷体" w:eastAsia="楷体"/>
          <w:b/>
          <w:color w:val="auto"/>
          <w:kern w:val="2"/>
        </w:rPr>
        <w:br w:type="page"/>
      </w:r>
      <w:r>
        <w:rPr>
          <w:rFonts w:ascii="楷体" w:hAnsi="楷体" w:eastAsia="楷体"/>
          <w:b/>
          <w:color w:val="auto"/>
          <w:kern w:val="2"/>
        </w:rPr>
        <w:t>附表A</w:t>
      </w:r>
    </w:p>
    <w:p>
      <w:pPr>
        <w:pStyle w:val="2"/>
        <w:spacing w:afterLines="50" w:line="360" w:lineRule="exact"/>
        <w:jc w:val="center"/>
        <w:rPr>
          <w:rFonts w:ascii="楷体" w:hAnsi="楷体" w:eastAsia="楷体"/>
          <w:b/>
          <w:color w:val="auto"/>
          <w:kern w:val="2"/>
        </w:rPr>
      </w:pPr>
      <w:r>
        <w:rPr>
          <w:rFonts w:ascii="楷体" w:hAnsi="楷体" w:eastAsia="楷体"/>
          <w:b/>
          <w:color w:val="auto"/>
          <w:kern w:val="2"/>
        </w:rPr>
        <w:t>债权文件清单</w:t>
      </w:r>
    </w:p>
    <w:p>
      <w:pPr>
        <w:pStyle w:val="2"/>
        <w:spacing w:after="50" w:line="360" w:lineRule="exact"/>
        <w:rPr>
          <w:rFonts w:ascii="楷体" w:hAnsi="楷体" w:eastAsia="楷体"/>
          <w:b/>
          <w:color w:val="auto"/>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318"/>
        <w:gridCol w:w="1277"/>
        <w:gridCol w:w="1346"/>
        <w:gridCol w:w="865"/>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1397" w:type="dxa"/>
            <w:vMerge w:val="restart"/>
            <w:tcBorders>
              <w:bottom w:val="single" w:color="auto" w:sz="4" w:space="0"/>
            </w:tcBorders>
            <w:noWrap/>
            <w:vAlign w:val="center"/>
          </w:tcPr>
          <w:p>
            <w:pPr>
              <w:spacing w:afterLines="50" w:line="360" w:lineRule="exact"/>
              <w:rPr>
                <w:rFonts w:ascii="楷体" w:hAnsi="楷体" w:eastAsia="楷体"/>
                <w:b/>
                <w:bCs/>
                <w:kern w:val="0"/>
                <w:sz w:val="24"/>
                <w:szCs w:val="24"/>
              </w:rPr>
            </w:pPr>
            <w:r>
              <w:rPr>
                <w:rFonts w:ascii="楷体" w:hAnsi="楷体" w:eastAsia="楷体"/>
                <w:b/>
                <w:bCs/>
                <w:kern w:val="0"/>
                <w:sz w:val="24"/>
                <w:szCs w:val="24"/>
              </w:rPr>
              <w:t>债务人名称</w:t>
            </w:r>
          </w:p>
        </w:tc>
        <w:tc>
          <w:tcPr>
            <w:tcW w:w="1318" w:type="dxa"/>
            <w:vMerge w:val="restart"/>
            <w:noWrap/>
            <w:vAlign w:val="center"/>
          </w:tcPr>
          <w:p>
            <w:pPr>
              <w:spacing w:afterLines="50" w:line="360" w:lineRule="exact"/>
              <w:rPr>
                <w:rFonts w:ascii="楷体" w:hAnsi="楷体" w:eastAsia="楷体"/>
                <w:b/>
                <w:bCs/>
                <w:kern w:val="0"/>
                <w:sz w:val="24"/>
                <w:szCs w:val="24"/>
              </w:rPr>
            </w:pPr>
            <w:r>
              <w:rPr>
                <w:rFonts w:ascii="楷体" w:hAnsi="楷体" w:eastAsia="楷体"/>
                <w:b/>
                <w:bCs/>
                <w:kern w:val="0"/>
                <w:sz w:val="24"/>
                <w:szCs w:val="24"/>
              </w:rPr>
              <w:t>文件名称</w:t>
            </w:r>
          </w:p>
        </w:tc>
        <w:tc>
          <w:tcPr>
            <w:tcW w:w="1277" w:type="dxa"/>
            <w:vMerge w:val="restart"/>
            <w:noWrap/>
            <w:vAlign w:val="center"/>
          </w:tcPr>
          <w:p>
            <w:pPr>
              <w:spacing w:afterLines="50" w:line="360" w:lineRule="exact"/>
              <w:rPr>
                <w:rFonts w:ascii="楷体" w:hAnsi="楷体" w:eastAsia="楷体"/>
                <w:b/>
                <w:bCs/>
                <w:kern w:val="0"/>
                <w:sz w:val="24"/>
                <w:szCs w:val="24"/>
              </w:rPr>
            </w:pPr>
            <w:r>
              <w:rPr>
                <w:rFonts w:ascii="楷体" w:hAnsi="楷体" w:eastAsia="楷体"/>
                <w:b/>
                <w:bCs/>
                <w:kern w:val="0"/>
                <w:sz w:val="24"/>
                <w:szCs w:val="24"/>
              </w:rPr>
              <w:t>文件编号</w:t>
            </w:r>
          </w:p>
        </w:tc>
        <w:tc>
          <w:tcPr>
            <w:tcW w:w="1346" w:type="dxa"/>
            <w:vMerge w:val="restart"/>
            <w:noWrap/>
            <w:vAlign w:val="center"/>
          </w:tcPr>
          <w:p>
            <w:pPr>
              <w:spacing w:afterLines="50" w:line="360" w:lineRule="exact"/>
              <w:rPr>
                <w:rFonts w:ascii="楷体" w:hAnsi="楷体" w:eastAsia="楷体"/>
                <w:b/>
                <w:bCs/>
                <w:kern w:val="0"/>
                <w:sz w:val="24"/>
                <w:szCs w:val="24"/>
              </w:rPr>
            </w:pPr>
            <w:r>
              <w:rPr>
                <w:rFonts w:ascii="楷体" w:hAnsi="楷体" w:eastAsia="楷体"/>
                <w:b/>
                <w:bCs/>
                <w:kern w:val="0"/>
                <w:sz w:val="24"/>
                <w:szCs w:val="24"/>
              </w:rPr>
              <w:t>是否原件</w:t>
            </w:r>
          </w:p>
        </w:tc>
        <w:tc>
          <w:tcPr>
            <w:tcW w:w="865" w:type="dxa"/>
            <w:vMerge w:val="restart"/>
            <w:tcBorders>
              <w:bottom w:val="single" w:color="auto" w:sz="4" w:space="0"/>
            </w:tcBorders>
            <w:noWrap/>
            <w:vAlign w:val="center"/>
          </w:tcPr>
          <w:p>
            <w:pPr>
              <w:spacing w:afterLines="50" w:line="360" w:lineRule="exact"/>
              <w:rPr>
                <w:rFonts w:ascii="楷体" w:hAnsi="楷体" w:eastAsia="楷体"/>
                <w:b/>
                <w:bCs/>
                <w:kern w:val="0"/>
                <w:sz w:val="24"/>
                <w:szCs w:val="24"/>
              </w:rPr>
            </w:pPr>
            <w:r>
              <w:rPr>
                <w:rFonts w:ascii="楷体" w:hAnsi="楷体" w:eastAsia="楷体"/>
                <w:b/>
                <w:bCs/>
                <w:kern w:val="0"/>
                <w:sz w:val="24"/>
                <w:szCs w:val="24"/>
              </w:rPr>
              <w:t>页数</w:t>
            </w:r>
          </w:p>
        </w:tc>
        <w:tc>
          <w:tcPr>
            <w:tcW w:w="1346" w:type="dxa"/>
            <w:vMerge w:val="restart"/>
            <w:tcBorders>
              <w:bottom w:val="single" w:color="auto" w:sz="4" w:space="0"/>
            </w:tcBorders>
            <w:noWrap/>
            <w:vAlign w:val="center"/>
          </w:tcPr>
          <w:p>
            <w:pPr>
              <w:spacing w:afterLines="50" w:line="360" w:lineRule="exact"/>
              <w:rPr>
                <w:rFonts w:ascii="楷体" w:hAnsi="楷体" w:eastAsia="楷体"/>
                <w:b/>
                <w:bCs/>
                <w:kern w:val="0"/>
                <w:sz w:val="24"/>
                <w:szCs w:val="24"/>
              </w:rPr>
            </w:pPr>
            <w:r>
              <w:rPr>
                <w:rFonts w:ascii="楷体" w:hAnsi="楷体" w:eastAsia="楷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1397" w:type="dxa"/>
            <w:vMerge w:val="restart"/>
            <w:tcBorders>
              <w:bottom w:val="single" w:color="auto" w:sz="4" w:space="0"/>
            </w:tcBorders>
            <w:noWrap/>
          </w:tcPr>
          <w:p>
            <w:pPr>
              <w:keepNext w:val="0"/>
              <w:keepLines w:val="0"/>
              <w:spacing w:before="0" w:afterLines="50" w:line="360" w:lineRule="exact"/>
              <w:rPr>
                <w:rFonts w:ascii="楷体" w:hAnsi="楷体" w:eastAsia="楷体"/>
                <w:b/>
                <w:bCs/>
                <w:kern w:val="0"/>
                <w:sz w:val="24"/>
                <w:szCs w:val="24"/>
              </w:rPr>
            </w:pPr>
          </w:p>
        </w:tc>
        <w:tc>
          <w:tcPr>
            <w:tcW w:w="1318" w:type="dxa"/>
            <w:vMerge w:val="restart"/>
            <w:tcBorders>
              <w:bottom w:val="nil"/>
            </w:tcBorders>
            <w:noWrap/>
          </w:tcPr>
          <w:p>
            <w:pPr>
              <w:keepNext w:val="0"/>
              <w:keepLines w:val="0"/>
              <w:widowControl/>
              <w:spacing w:before="0" w:afterLines="50" w:line="360" w:lineRule="exact"/>
              <w:jc w:val="left"/>
              <w:rPr>
                <w:rFonts w:ascii="楷体" w:hAnsi="楷体" w:eastAsia="楷体"/>
                <w:b/>
                <w:bCs/>
                <w:kern w:val="0"/>
                <w:sz w:val="24"/>
                <w:szCs w:val="24"/>
              </w:rPr>
            </w:pPr>
          </w:p>
        </w:tc>
        <w:tc>
          <w:tcPr>
            <w:tcW w:w="1277" w:type="dxa"/>
            <w:vMerge w:val="restart"/>
            <w:tcBorders>
              <w:bottom w:val="nil"/>
            </w:tcBorders>
            <w:noWrap/>
          </w:tcPr>
          <w:p>
            <w:pPr>
              <w:keepNext w:val="0"/>
              <w:keepLines w:val="0"/>
              <w:widowControl/>
              <w:spacing w:before="0" w:afterLines="50" w:line="360" w:lineRule="exact"/>
              <w:jc w:val="left"/>
              <w:rPr>
                <w:rFonts w:ascii="楷体" w:hAnsi="楷体" w:eastAsia="楷体"/>
                <w:b/>
                <w:bCs/>
                <w:kern w:val="0"/>
                <w:sz w:val="24"/>
                <w:szCs w:val="24"/>
              </w:rPr>
            </w:pPr>
          </w:p>
        </w:tc>
        <w:tc>
          <w:tcPr>
            <w:tcW w:w="1346" w:type="dxa"/>
            <w:vMerge w:val="restart"/>
            <w:tcBorders>
              <w:bottom w:val="nil"/>
            </w:tcBorders>
            <w:noWrap/>
          </w:tcPr>
          <w:p>
            <w:pPr>
              <w:keepNext w:val="0"/>
              <w:keepLines w:val="0"/>
              <w:widowControl/>
              <w:spacing w:before="0" w:afterLines="50" w:line="360" w:lineRule="exact"/>
              <w:jc w:val="left"/>
              <w:rPr>
                <w:rFonts w:ascii="楷体" w:hAnsi="楷体" w:eastAsia="楷体"/>
                <w:b/>
                <w:bCs/>
                <w:kern w:val="0"/>
                <w:sz w:val="24"/>
                <w:szCs w:val="24"/>
              </w:rPr>
            </w:pPr>
          </w:p>
        </w:tc>
        <w:tc>
          <w:tcPr>
            <w:tcW w:w="865" w:type="dxa"/>
            <w:vMerge w:val="restart"/>
            <w:tcBorders>
              <w:bottom w:val="single" w:color="auto" w:sz="4" w:space="0"/>
            </w:tcBorders>
            <w:noWrap/>
          </w:tcPr>
          <w:p>
            <w:pPr>
              <w:keepNext w:val="0"/>
              <w:keepLines w:val="0"/>
              <w:spacing w:before="0" w:afterLines="50" w:line="360" w:lineRule="exact"/>
              <w:rPr>
                <w:rFonts w:ascii="楷体" w:hAnsi="楷体" w:eastAsia="楷体"/>
                <w:b/>
                <w:bCs/>
                <w:kern w:val="0"/>
                <w:sz w:val="24"/>
                <w:szCs w:val="24"/>
              </w:rPr>
            </w:pPr>
          </w:p>
        </w:tc>
        <w:tc>
          <w:tcPr>
            <w:tcW w:w="1346" w:type="dxa"/>
            <w:vMerge w:val="restart"/>
            <w:tcBorders>
              <w:bottom w:val="single" w:color="auto" w:sz="4" w:space="0"/>
            </w:tcBorders>
            <w:noWrap/>
          </w:tcPr>
          <w:p>
            <w:pPr>
              <w:keepNext w:val="0"/>
              <w:keepLines w:val="0"/>
              <w:spacing w:before="0" w:afterLines="50" w:line="360" w:lineRule="exact"/>
              <w:rPr>
                <w:rFonts w:ascii="楷体" w:hAnsi="楷体" w:eastAsia="楷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397" w:type="dxa"/>
            <w:vMerge w:val="restart"/>
            <w:noWrap/>
            <w:vAlign w:val="center"/>
          </w:tcPr>
          <w:p>
            <w:pPr>
              <w:spacing w:afterLines="50" w:line="360" w:lineRule="exact"/>
              <w:rPr>
                <w:rFonts w:ascii="楷体" w:hAnsi="楷体" w:eastAsia="楷体"/>
                <w:bCs/>
                <w:kern w:val="0"/>
                <w:sz w:val="24"/>
                <w:szCs w:val="24"/>
              </w:rPr>
            </w:pPr>
          </w:p>
        </w:tc>
        <w:tc>
          <w:tcPr>
            <w:tcW w:w="1318" w:type="dxa"/>
            <w:noWrap/>
            <w:vAlign w:val="center"/>
          </w:tcPr>
          <w:p>
            <w:pPr>
              <w:keepNext w:val="0"/>
              <w:keepLines w:val="0"/>
              <w:spacing w:before="0" w:afterLines="50" w:line="360" w:lineRule="exact"/>
              <w:rPr>
                <w:rFonts w:ascii="楷体" w:hAnsi="楷体" w:eastAsia="楷体"/>
                <w:b/>
                <w:bCs/>
                <w:kern w:val="0"/>
                <w:sz w:val="24"/>
                <w:szCs w:val="24"/>
              </w:rPr>
            </w:pPr>
          </w:p>
        </w:tc>
        <w:tc>
          <w:tcPr>
            <w:tcW w:w="1277" w:type="dxa"/>
            <w:noWrap/>
            <w:vAlign w:val="center"/>
          </w:tcPr>
          <w:p>
            <w:pPr>
              <w:keepNext w:val="0"/>
              <w:keepLines w:val="0"/>
              <w:spacing w:before="0" w:afterLines="50" w:line="360" w:lineRule="exact"/>
              <w:rPr>
                <w:rFonts w:ascii="楷体" w:hAnsi="楷体" w:eastAsia="楷体"/>
                <w:b/>
                <w:bCs/>
                <w:kern w:val="0"/>
                <w:sz w:val="24"/>
                <w:szCs w:val="24"/>
              </w:rPr>
            </w:pPr>
          </w:p>
        </w:tc>
        <w:tc>
          <w:tcPr>
            <w:tcW w:w="1346"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865"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1346" w:type="dxa"/>
            <w:noWrap/>
            <w:vAlign w:val="center"/>
          </w:tcPr>
          <w:p>
            <w:pPr>
              <w:keepNext w:val="0"/>
              <w:keepLines w:val="0"/>
              <w:spacing w:before="0" w:afterLines="50" w:line="360" w:lineRule="exact"/>
              <w:jc w:val="center"/>
              <w:rPr>
                <w:rFonts w:ascii="楷体" w:hAnsi="楷体" w:eastAsia="楷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397" w:type="dxa"/>
            <w:vMerge w:val="continue"/>
            <w:noWrap/>
          </w:tcPr>
          <w:p>
            <w:pPr>
              <w:keepNext w:val="0"/>
              <w:keepLines w:val="0"/>
              <w:spacing w:before="0" w:afterLines="50" w:line="360" w:lineRule="exact"/>
              <w:rPr>
                <w:rFonts w:ascii="楷体" w:hAnsi="楷体" w:eastAsia="楷体"/>
                <w:b/>
                <w:bCs/>
                <w:kern w:val="0"/>
                <w:sz w:val="24"/>
                <w:szCs w:val="24"/>
              </w:rPr>
            </w:pPr>
          </w:p>
        </w:tc>
        <w:tc>
          <w:tcPr>
            <w:tcW w:w="1318" w:type="dxa"/>
            <w:noWrap/>
          </w:tcPr>
          <w:p>
            <w:pPr>
              <w:keepNext w:val="0"/>
              <w:keepLines w:val="0"/>
              <w:spacing w:before="0" w:afterLines="50" w:line="360" w:lineRule="exact"/>
              <w:rPr>
                <w:rFonts w:ascii="楷体" w:hAnsi="楷体" w:eastAsia="楷体"/>
                <w:b/>
                <w:bCs/>
                <w:kern w:val="0"/>
                <w:sz w:val="24"/>
                <w:szCs w:val="24"/>
              </w:rPr>
            </w:pPr>
          </w:p>
        </w:tc>
        <w:tc>
          <w:tcPr>
            <w:tcW w:w="1277" w:type="dxa"/>
            <w:noWrap/>
            <w:vAlign w:val="center"/>
          </w:tcPr>
          <w:p>
            <w:pPr>
              <w:keepNext w:val="0"/>
              <w:keepLines w:val="0"/>
              <w:spacing w:before="0" w:afterLines="50" w:line="360" w:lineRule="exact"/>
              <w:rPr>
                <w:rFonts w:ascii="楷体" w:hAnsi="楷体" w:eastAsia="楷体"/>
                <w:b/>
                <w:bCs/>
                <w:kern w:val="0"/>
                <w:sz w:val="24"/>
                <w:szCs w:val="24"/>
              </w:rPr>
            </w:pPr>
          </w:p>
        </w:tc>
        <w:tc>
          <w:tcPr>
            <w:tcW w:w="1346"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865"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1346" w:type="dxa"/>
            <w:noWrap/>
            <w:vAlign w:val="center"/>
          </w:tcPr>
          <w:p>
            <w:pPr>
              <w:keepNext w:val="0"/>
              <w:keepLines w:val="0"/>
              <w:spacing w:before="0" w:afterLines="50" w:line="360" w:lineRule="exact"/>
              <w:jc w:val="center"/>
              <w:rPr>
                <w:rFonts w:ascii="楷体" w:hAnsi="楷体" w:eastAsia="楷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397" w:type="dxa"/>
            <w:vMerge w:val="continue"/>
            <w:noWrap/>
          </w:tcPr>
          <w:p>
            <w:pPr>
              <w:keepNext w:val="0"/>
              <w:keepLines w:val="0"/>
              <w:spacing w:before="0" w:afterLines="50" w:line="360" w:lineRule="exact"/>
              <w:rPr>
                <w:rFonts w:ascii="楷体" w:hAnsi="楷体" w:eastAsia="楷体"/>
                <w:b/>
                <w:bCs/>
                <w:kern w:val="0"/>
                <w:sz w:val="24"/>
                <w:szCs w:val="24"/>
              </w:rPr>
            </w:pPr>
          </w:p>
        </w:tc>
        <w:tc>
          <w:tcPr>
            <w:tcW w:w="1318" w:type="dxa"/>
            <w:noWrap/>
          </w:tcPr>
          <w:p>
            <w:pPr>
              <w:keepNext w:val="0"/>
              <w:keepLines w:val="0"/>
              <w:spacing w:before="0" w:afterLines="50" w:line="360" w:lineRule="exact"/>
              <w:rPr>
                <w:rFonts w:ascii="楷体" w:hAnsi="楷体" w:eastAsia="楷体"/>
                <w:b/>
                <w:bCs/>
                <w:kern w:val="0"/>
                <w:sz w:val="24"/>
                <w:szCs w:val="24"/>
              </w:rPr>
            </w:pPr>
          </w:p>
        </w:tc>
        <w:tc>
          <w:tcPr>
            <w:tcW w:w="1277" w:type="dxa"/>
            <w:noWrap/>
            <w:vAlign w:val="center"/>
          </w:tcPr>
          <w:p>
            <w:pPr>
              <w:keepNext w:val="0"/>
              <w:keepLines w:val="0"/>
              <w:spacing w:before="0" w:afterLines="50" w:line="360" w:lineRule="exact"/>
              <w:rPr>
                <w:rFonts w:ascii="楷体" w:hAnsi="楷体" w:eastAsia="楷体"/>
                <w:b/>
                <w:bCs/>
                <w:kern w:val="0"/>
                <w:sz w:val="24"/>
                <w:szCs w:val="24"/>
              </w:rPr>
            </w:pPr>
          </w:p>
        </w:tc>
        <w:tc>
          <w:tcPr>
            <w:tcW w:w="1346"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865"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1346" w:type="dxa"/>
            <w:noWrap/>
            <w:vAlign w:val="center"/>
          </w:tcPr>
          <w:p>
            <w:pPr>
              <w:keepNext w:val="0"/>
              <w:keepLines w:val="0"/>
              <w:spacing w:before="0" w:afterLines="50" w:line="360" w:lineRule="exact"/>
              <w:jc w:val="center"/>
              <w:rPr>
                <w:rFonts w:ascii="楷体" w:hAnsi="楷体" w:eastAsia="楷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397" w:type="dxa"/>
            <w:vMerge w:val="continue"/>
            <w:noWrap/>
          </w:tcPr>
          <w:p>
            <w:pPr>
              <w:keepNext w:val="0"/>
              <w:keepLines w:val="0"/>
              <w:spacing w:before="0" w:afterLines="50" w:line="360" w:lineRule="exact"/>
              <w:rPr>
                <w:rFonts w:ascii="楷体" w:hAnsi="楷体" w:eastAsia="楷体"/>
                <w:b/>
                <w:bCs/>
                <w:kern w:val="0"/>
                <w:sz w:val="24"/>
                <w:szCs w:val="24"/>
              </w:rPr>
            </w:pPr>
          </w:p>
        </w:tc>
        <w:tc>
          <w:tcPr>
            <w:tcW w:w="1318" w:type="dxa"/>
            <w:noWrap/>
          </w:tcPr>
          <w:p>
            <w:pPr>
              <w:keepNext w:val="0"/>
              <w:keepLines w:val="0"/>
              <w:spacing w:before="0" w:afterLines="50" w:line="360" w:lineRule="exact"/>
              <w:rPr>
                <w:rFonts w:ascii="楷体" w:hAnsi="楷体" w:eastAsia="楷体"/>
                <w:b/>
                <w:bCs/>
                <w:kern w:val="0"/>
                <w:sz w:val="24"/>
                <w:szCs w:val="24"/>
              </w:rPr>
            </w:pPr>
          </w:p>
        </w:tc>
        <w:tc>
          <w:tcPr>
            <w:tcW w:w="1277"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1346"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865"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1346" w:type="dxa"/>
            <w:noWrap/>
            <w:vAlign w:val="center"/>
          </w:tcPr>
          <w:p>
            <w:pPr>
              <w:keepNext w:val="0"/>
              <w:keepLines w:val="0"/>
              <w:spacing w:before="0" w:afterLines="50" w:line="360" w:lineRule="exact"/>
              <w:jc w:val="center"/>
              <w:rPr>
                <w:rFonts w:ascii="楷体" w:hAnsi="楷体" w:eastAsia="楷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397" w:type="dxa"/>
            <w:vMerge w:val="continue"/>
            <w:noWrap/>
          </w:tcPr>
          <w:p>
            <w:pPr>
              <w:keepNext w:val="0"/>
              <w:keepLines w:val="0"/>
              <w:spacing w:before="0" w:afterLines="50" w:line="360" w:lineRule="exact"/>
              <w:rPr>
                <w:rFonts w:ascii="楷体" w:hAnsi="楷体" w:eastAsia="楷体"/>
                <w:b/>
                <w:bCs/>
                <w:kern w:val="0"/>
                <w:sz w:val="24"/>
                <w:szCs w:val="24"/>
              </w:rPr>
            </w:pPr>
          </w:p>
        </w:tc>
        <w:tc>
          <w:tcPr>
            <w:tcW w:w="1318" w:type="dxa"/>
            <w:noWrap/>
          </w:tcPr>
          <w:p>
            <w:pPr>
              <w:keepNext w:val="0"/>
              <w:keepLines w:val="0"/>
              <w:spacing w:before="0" w:afterLines="50" w:line="360" w:lineRule="exact"/>
              <w:rPr>
                <w:rFonts w:ascii="楷体" w:hAnsi="楷体" w:eastAsia="楷体"/>
                <w:b/>
                <w:bCs/>
                <w:kern w:val="0"/>
                <w:sz w:val="24"/>
                <w:szCs w:val="24"/>
              </w:rPr>
            </w:pPr>
          </w:p>
        </w:tc>
        <w:tc>
          <w:tcPr>
            <w:tcW w:w="1277"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1346"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865"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1346" w:type="dxa"/>
            <w:noWrap/>
            <w:vAlign w:val="center"/>
          </w:tcPr>
          <w:p>
            <w:pPr>
              <w:keepNext w:val="0"/>
              <w:keepLines w:val="0"/>
              <w:spacing w:before="0" w:afterLines="50" w:line="360" w:lineRule="exact"/>
              <w:jc w:val="center"/>
              <w:rPr>
                <w:rFonts w:ascii="楷体" w:hAnsi="楷体" w:eastAsia="楷体"/>
                <w:b/>
                <w:bCs/>
                <w:kern w:val="0"/>
                <w:sz w:val="24"/>
                <w:szCs w:val="24"/>
              </w:rPr>
            </w:pPr>
          </w:p>
        </w:tc>
      </w:tr>
    </w:tbl>
    <w:p>
      <w:pPr>
        <w:pStyle w:val="2"/>
        <w:spacing w:afterLines="100" w:line="360" w:lineRule="exact"/>
        <w:jc w:val="center"/>
        <w:rPr>
          <w:rFonts w:ascii="楷体" w:hAnsi="楷体" w:eastAsia="楷体"/>
          <w:b/>
          <w:color w:val="auto"/>
          <w:kern w:val="2"/>
        </w:rPr>
      </w:pPr>
    </w:p>
    <w:p>
      <w:pPr>
        <w:pStyle w:val="2"/>
        <w:spacing w:afterLines="50" w:line="360" w:lineRule="exact"/>
        <w:ind w:firstLine="459"/>
        <w:rPr>
          <w:rFonts w:ascii="楷体" w:hAnsi="楷体" w:eastAsia="楷体"/>
          <w:color w:val="auto"/>
          <w:kern w:val="2"/>
        </w:rPr>
      </w:pPr>
    </w:p>
    <w:p>
      <w:pPr>
        <w:pStyle w:val="2"/>
        <w:spacing w:afterLines="50" w:line="360" w:lineRule="exact"/>
        <w:ind w:firstLine="459"/>
        <w:rPr>
          <w:rFonts w:ascii="楷体" w:hAnsi="楷体" w:eastAsia="楷体"/>
          <w:color w:val="auto"/>
          <w:kern w:val="2"/>
        </w:rPr>
      </w:pPr>
    </w:p>
    <w:p>
      <w:pPr>
        <w:pStyle w:val="2"/>
        <w:spacing w:afterLines="50" w:line="360" w:lineRule="exact"/>
        <w:ind w:firstLine="459"/>
        <w:rPr>
          <w:rFonts w:ascii="楷体" w:hAnsi="楷体" w:eastAsia="楷体"/>
          <w:color w:val="auto"/>
          <w:kern w:val="2"/>
        </w:rPr>
      </w:pPr>
    </w:p>
    <w:p>
      <w:pPr>
        <w:pStyle w:val="2"/>
        <w:spacing w:afterLines="50" w:line="360" w:lineRule="exact"/>
        <w:ind w:firstLine="459"/>
        <w:rPr>
          <w:rFonts w:ascii="楷体" w:hAnsi="楷体" w:eastAsia="楷体"/>
          <w:color w:val="auto"/>
          <w:kern w:val="2"/>
        </w:rPr>
      </w:pPr>
    </w:p>
    <w:p>
      <w:pPr>
        <w:pStyle w:val="2"/>
        <w:spacing w:afterLines="50" w:line="360" w:lineRule="exact"/>
        <w:ind w:firstLine="459"/>
        <w:rPr>
          <w:rFonts w:ascii="楷体" w:hAnsi="楷体" w:eastAsia="楷体"/>
          <w:color w:val="auto"/>
          <w:kern w:val="2"/>
        </w:rPr>
      </w:pPr>
    </w:p>
    <w:p>
      <w:pPr>
        <w:pStyle w:val="2"/>
        <w:spacing w:afterLines="50" w:line="360" w:lineRule="exact"/>
        <w:ind w:firstLine="459"/>
        <w:rPr>
          <w:rFonts w:ascii="楷体" w:hAnsi="楷体" w:eastAsia="楷体"/>
          <w:color w:val="auto"/>
          <w:kern w:val="2"/>
        </w:rPr>
      </w:pPr>
    </w:p>
    <w:p>
      <w:pPr>
        <w:pStyle w:val="2"/>
        <w:spacing w:afterLines="50" w:line="360" w:lineRule="exact"/>
        <w:ind w:firstLine="459"/>
        <w:rPr>
          <w:rFonts w:ascii="楷体" w:hAnsi="楷体" w:eastAsia="楷体"/>
          <w:color w:val="auto"/>
          <w:kern w:val="2"/>
        </w:rPr>
      </w:pPr>
    </w:p>
    <w:p>
      <w:pPr>
        <w:pStyle w:val="2"/>
        <w:spacing w:afterLines="50" w:line="360" w:lineRule="exact"/>
        <w:ind w:firstLine="459"/>
        <w:rPr>
          <w:rFonts w:ascii="楷体" w:hAnsi="楷体" w:eastAsia="楷体"/>
          <w:color w:val="auto"/>
          <w:kern w:val="2"/>
        </w:rPr>
      </w:pPr>
    </w:p>
    <w:p>
      <w:pPr>
        <w:pStyle w:val="2"/>
        <w:spacing w:afterLines="50" w:line="360" w:lineRule="exact"/>
        <w:ind w:firstLine="459"/>
        <w:rPr>
          <w:rFonts w:ascii="楷体" w:hAnsi="楷体" w:eastAsia="楷体"/>
          <w:color w:val="auto"/>
          <w:kern w:val="2"/>
        </w:rPr>
      </w:pPr>
    </w:p>
    <w:p>
      <w:pPr>
        <w:pStyle w:val="19"/>
        <w:adjustRightInd w:val="0"/>
        <w:snapToGrid w:val="0"/>
        <w:spacing w:beforeLines="0" w:afterLines="50" w:line="360" w:lineRule="exact"/>
        <w:ind w:firstLine="0" w:firstLineChars="0"/>
        <w:outlineLvl w:val="0"/>
        <w:rPr>
          <w:rFonts w:ascii="楷体" w:hAnsi="楷体" w:eastAsia="楷体"/>
        </w:rPr>
      </w:pPr>
      <w:bookmarkStart w:id="100" w:name="_Toc494285659"/>
      <w:bookmarkStart w:id="101" w:name="_Toc473908131"/>
      <w:bookmarkStart w:id="102" w:name="_Toc21616"/>
      <w:bookmarkStart w:id="103" w:name="_Toc533512292"/>
      <w:bookmarkStart w:id="104" w:name="_Toc21219"/>
      <w:bookmarkStart w:id="105" w:name="_Toc494284939"/>
      <w:bookmarkStart w:id="106" w:name="_Toc494225899"/>
      <w:r>
        <w:rPr>
          <w:rFonts w:ascii="楷体" w:hAnsi="楷体" w:eastAsia="楷体"/>
        </w:rPr>
        <w:br w:type="page"/>
      </w:r>
      <w:r>
        <w:rPr>
          <w:rFonts w:ascii="楷体" w:hAnsi="楷体" w:eastAsia="楷体"/>
        </w:rPr>
        <w:t>附件3  处置收入及处置费用明细表</w:t>
      </w:r>
      <w:bookmarkEnd w:id="100"/>
      <w:bookmarkEnd w:id="101"/>
      <w:bookmarkEnd w:id="102"/>
      <w:bookmarkEnd w:id="103"/>
      <w:bookmarkEnd w:id="104"/>
      <w:bookmarkEnd w:id="105"/>
      <w:bookmarkEnd w:id="106"/>
    </w:p>
    <w:p>
      <w:pPr>
        <w:pStyle w:val="19"/>
        <w:adjustRightInd w:val="0"/>
        <w:snapToGrid w:val="0"/>
        <w:spacing w:beforeLines="0" w:afterLines="50" w:line="360" w:lineRule="exact"/>
        <w:ind w:firstLine="0" w:firstLineChars="0"/>
        <w:outlineLvl w:val="0"/>
        <w:rPr>
          <w:rFonts w:ascii="楷体" w:hAnsi="楷体" w:eastAsia="楷体"/>
        </w:rPr>
      </w:pPr>
      <w:bookmarkStart w:id="107" w:name="_Toc533512293"/>
      <w:bookmarkStart w:id="108" w:name="_Toc494225900"/>
      <w:bookmarkStart w:id="109" w:name="_Toc9537"/>
      <w:bookmarkStart w:id="110" w:name="_Toc494284940"/>
      <w:bookmarkStart w:id="111" w:name="_Toc3340"/>
      <w:bookmarkStart w:id="112" w:name="_Toc494285660"/>
      <w:r>
        <w:rPr>
          <w:rFonts w:ascii="楷体" w:hAnsi="楷体" w:eastAsia="楷体"/>
        </w:rPr>
        <w:t>附表A  处置收入明细表</w:t>
      </w:r>
      <w:bookmarkEnd w:id="107"/>
      <w:bookmarkEnd w:id="108"/>
      <w:bookmarkEnd w:id="109"/>
      <w:bookmarkEnd w:id="110"/>
      <w:bookmarkEnd w:id="111"/>
      <w:bookmarkEnd w:id="112"/>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1528"/>
        <w:gridCol w:w="1335"/>
        <w:gridCol w:w="1334"/>
        <w:gridCol w:w="1092"/>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1475" w:type="dxa"/>
            <w:noWrap/>
            <w:vAlign w:val="center"/>
          </w:tcPr>
          <w:p>
            <w:pPr>
              <w:widowControl/>
              <w:spacing w:afterLines="50" w:line="360" w:lineRule="exact"/>
              <w:jc w:val="center"/>
              <w:rPr>
                <w:rFonts w:ascii="楷体" w:hAnsi="楷体" w:eastAsia="楷体"/>
                <w:b/>
                <w:sz w:val="24"/>
                <w:szCs w:val="24"/>
              </w:rPr>
            </w:pPr>
            <w:r>
              <w:rPr>
                <w:rFonts w:ascii="楷体" w:hAnsi="楷体" w:eastAsia="楷体"/>
                <w:b/>
                <w:sz w:val="24"/>
                <w:szCs w:val="24"/>
              </w:rPr>
              <w:t>处置收入</w:t>
            </w:r>
          </w:p>
        </w:tc>
        <w:tc>
          <w:tcPr>
            <w:tcW w:w="1528" w:type="dxa"/>
            <w:noWrap/>
            <w:vAlign w:val="center"/>
          </w:tcPr>
          <w:p>
            <w:pPr>
              <w:spacing w:afterLines="50" w:line="360" w:lineRule="exact"/>
              <w:jc w:val="center"/>
              <w:rPr>
                <w:rFonts w:ascii="楷体" w:hAnsi="楷体" w:eastAsia="楷体"/>
                <w:b/>
                <w:sz w:val="24"/>
                <w:szCs w:val="24"/>
              </w:rPr>
            </w:pPr>
            <w:r>
              <w:rPr>
                <w:rFonts w:ascii="楷体" w:hAnsi="楷体" w:eastAsia="楷体"/>
                <w:b/>
                <w:sz w:val="24"/>
                <w:szCs w:val="24"/>
              </w:rPr>
              <w:t>主债权</w:t>
            </w:r>
          </w:p>
        </w:tc>
        <w:tc>
          <w:tcPr>
            <w:tcW w:w="1335" w:type="dxa"/>
            <w:noWrap/>
            <w:vAlign w:val="center"/>
          </w:tcPr>
          <w:p>
            <w:pPr>
              <w:spacing w:afterLines="50" w:line="360" w:lineRule="exact"/>
              <w:jc w:val="center"/>
              <w:rPr>
                <w:rFonts w:ascii="楷体" w:hAnsi="楷体" w:eastAsia="楷体"/>
                <w:b/>
                <w:sz w:val="24"/>
                <w:szCs w:val="24"/>
              </w:rPr>
            </w:pPr>
            <w:r>
              <w:rPr>
                <w:rFonts w:ascii="楷体" w:hAnsi="楷体" w:eastAsia="楷体"/>
                <w:b/>
                <w:sz w:val="24"/>
                <w:szCs w:val="24"/>
              </w:rPr>
              <w:t>付款方</w:t>
            </w:r>
          </w:p>
        </w:tc>
        <w:tc>
          <w:tcPr>
            <w:tcW w:w="1334" w:type="dxa"/>
            <w:tcBorders>
              <w:bottom w:val="single" w:color="auto" w:sz="4" w:space="0"/>
            </w:tcBorders>
            <w:noWrap/>
            <w:vAlign w:val="center"/>
          </w:tcPr>
          <w:p>
            <w:pPr>
              <w:spacing w:afterLines="50" w:line="360" w:lineRule="exact"/>
              <w:jc w:val="center"/>
              <w:rPr>
                <w:rFonts w:ascii="楷体" w:hAnsi="楷体" w:eastAsia="楷体"/>
                <w:b/>
                <w:sz w:val="24"/>
                <w:szCs w:val="24"/>
              </w:rPr>
            </w:pPr>
            <w:r>
              <w:rPr>
                <w:rFonts w:ascii="楷体" w:hAnsi="楷体" w:eastAsia="楷体"/>
                <w:b/>
                <w:sz w:val="24"/>
                <w:szCs w:val="24"/>
              </w:rPr>
              <w:t>金额（万元）</w:t>
            </w:r>
          </w:p>
        </w:tc>
        <w:tc>
          <w:tcPr>
            <w:tcW w:w="1092" w:type="dxa"/>
            <w:tcBorders>
              <w:bottom w:val="single" w:color="auto" w:sz="4" w:space="0"/>
            </w:tcBorders>
            <w:noWrap/>
            <w:vAlign w:val="center"/>
          </w:tcPr>
          <w:p>
            <w:pPr>
              <w:spacing w:afterLines="50" w:line="360" w:lineRule="exact"/>
              <w:jc w:val="center"/>
              <w:rPr>
                <w:rFonts w:ascii="楷体" w:hAnsi="楷体" w:eastAsia="楷体"/>
                <w:b/>
                <w:sz w:val="24"/>
                <w:szCs w:val="24"/>
              </w:rPr>
            </w:pPr>
            <w:r>
              <w:rPr>
                <w:rFonts w:ascii="楷体" w:hAnsi="楷体" w:eastAsia="楷体"/>
                <w:b/>
                <w:sz w:val="24"/>
                <w:szCs w:val="24"/>
              </w:rPr>
              <w:t>日期</w:t>
            </w:r>
          </w:p>
        </w:tc>
        <w:tc>
          <w:tcPr>
            <w:tcW w:w="1091" w:type="dxa"/>
            <w:noWrap/>
            <w:vAlign w:val="center"/>
          </w:tcPr>
          <w:p>
            <w:pPr>
              <w:spacing w:afterLines="50" w:line="360" w:lineRule="exact"/>
              <w:jc w:val="center"/>
              <w:rPr>
                <w:rFonts w:ascii="楷体" w:hAnsi="楷体" w:eastAsia="楷体"/>
                <w:b/>
                <w:sz w:val="24"/>
                <w:szCs w:val="24"/>
              </w:rPr>
            </w:pPr>
            <w:r>
              <w:rPr>
                <w:rFonts w:ascii="楷体" w:hAnsi="楷体" w:eastAsia="楷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1475" w:type="dxa"/>
            <w:noWrap/>
            <w:vAlign w:val="center"/>
          </w:tcPr>
          <w:p>
            <w:pPr>
              <w:spacing w:afterLines="50" w:line="360" w:lineRule="exact"/>
              <w:rPr>
                <w:rFonts w:ascii="楷体" w:hAnsi="楷体" w:eastAsia="楷体"/>
                <w:sz w:val="24"/>
                <w:szCs w:val="24"/>
              </w:rPr>
            </w:pPr>
          </w:p>
        </w:tc>
        <w:tc>
          <w:tcPr>
            <w:tcW w:w="1528" w:type="dxa"/>
            <w:noWrap/>
            <w:vAlign w:val="center"/>
          </w:tcPr>
          <w:p>
            <w:pPr>
              <w:keepNext w:val="0"/>
              <w:keepLines w:val="0"/>
              <w:spacing w:before="0" w:afterLines="50" w:line="360" w:lineRule="exact"/>
              <w:outlineLvl w:val="9"/>
              <w:rPr>
                <w:rFonts w:ascii="楷体" w:hAnsi="楷体" w:eastAsia="楷体"/>
                <w:b/>
                <w:bCs/>
                <w:sz w:val="24"/>
                <w:szCs w:val="24"/>
              </w:rPr>
            </w:pPr>
          </w:p>
        </w:tc>
        <w:tc>
          <w:tcPr>
            <w:tcW w:w="1335"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334"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92"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91" w:type="dxa"/>
            <w:noWrap/>
          </w:tcPr>
          <w:p>
            <w:pPr>
              <w:keepNext w:val="0"/>
              <w:keepLines w:val="0"/>
              <w:spacing w:before="0" w:afterLines="50" w:line="360" w:lineRule="exact"/>
              <w:jc w:val="center"/>
              <w:outlineLvl w:val="9"/>
              <w:rPr>
                <w:rFonts w:ascii="楷体" w:hAnsi="楷体" w:eastAsia="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1475" w:type="dxa"/>
            <w:noWrap/>
          </w:tcPr>
          <w:p>
            <w:pPr>
              <w:spacing w:afterLines="50" w:line="360" w:lineRule="exact"/>
              <w:rPr>
                <w:rFonts w:ascii="楷体" w:hAnsi="楷体" w:eastAsia="楷体"/>
                <w:sz w:val="24"/>
                <w:szCs w:val="24"/>
              </w:rPr>
            </w:pPr>
          </w:p>
        </w:tc>
        <w:tc>
          <w:tcPr>
            <w:tcW w:w="1528" w:type="dxa"/>
            <w:noWrap/>
            <w:vAlign w:val="center"/>
          </w:tcPr>
          <w:p>
            <w:pPr>
              <w:keepNext w:val="0"/>
              <w:keepLines w:val="0"/>
              <w:spacing w:before="0" w:afterLines="50" w:line="360" w:lineRule="exact"/>
              <w:outlineLvl w:val="9"/>
              <w:rPr>
                <w:rFonts w:ascii="楷体" w:hAnsi="楷体" w:eastAsia="楷体"/>
                <w:b/>
                <w:bCs/>
                <w:sz w:val="24"/>
                <w:szCs w:val="24"/>
              </w:rPr>
            </w:pPr>
          </w:p>
        </w:tc>
        <w:tc>
          <w:tcPr>
            <w:tcW w:w="1335"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334"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92"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91" w:type="dxa"/>
            <w:noWrap/>
          </w:tcPr>
          <w:p>
            <w:pPr>
              <w:keepNext w:val="0"/>
              <w:keepLines w:val="0"/>
              <w:spacing w:before="0" w:afterLines="50" w:line="360" w:lineRule="exact"/>
              <w:jc w:val="center"/>
              <w:outlineLvl w:val="9"/>
              <w:rPr>
                <w:rFonts w:ascii="楷体" w:hAnsi="楷体" w:eastAsia="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1475" w:type="dxa"/>
            <w:noWrap/>
          </w:tcPr>
          <w:p>
            <w:pPr>
              <w:spacing w:afterLines="50" w:line="360" w:lineRule="exact"/>
              <w:rPr>
                <w:rFonts w:ascii="楷体" w:hAnsi="楷体" w:eastAsia="楷体"/>
                <w:sz w:val="24"/>
                <w:szCs w:val="24"/>
              </w:rPr>
            </w:pPr>
          </w:p>
        </w:tc>
        <w:tc>
          <w:tcPr>
            <w:tcW w:w="1528" w:type="dxa"/>
            <w:noWrap/>
            <w:vAlign w:val="center"/>
          </w:tcPr>
          <w:p>
            <w:pPr>
              <w:keepNext w:val="0"/>
              <w:keepLines w:val="0"/>
              <w:spacing w:before="0" w:afterLines="50" w:line="360" w:lineRule="exact"/>
              <w:outlineLvl w:val="9"/>
              <w:rPr>
                <w:rFonts w:ascii="楷体" w:hAnsi="楷体" w:eastAsia="楷体"/>
                <w:b/>
                <w:bCs/>
                <w:sz w:val="24"/>
                <w:szCs w:val="24"/>
              </w:rPr>
            </w:pPr>
          </w:p>
        </w:tc>
        <w:tc>
          <w:tcPr>
            <w:tcW w:w="1335"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334"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92"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91" w:type="dxa"/>
            <w:noWrap/>
          </w:tcPr>
          <w:p>
            <w:pPr>
              <w:keepNext w:val="0"/>
              <w:keepLines w:val="0"/>
              <w:spacing w:before="0" w:afterLines="50" w:line="360" w:lineRule="exact"/>
              <w:jc w:val="center"/>
              <w:outlineLvl w:val="9"/>
              <w:rPr>
                <w:rFonts w:ascii="楷体" w:hAnsi="楷体" w:eastAsia="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1475" w:type="dxa"/>
            <w:noWrap/>
          </w:tcPr>
          <w:p>
            <w:pPr>
              <w:spacing w:afterLines="50" w:line="360" w:lineRule="exact"/>
              <w:rPr>
                <w:rFonts w:ascii="楷体" w:hAnsi="楷体" w:eastAsia="楷体"/>
                <w:sz w:val="24"/>
                <w:szCs w:val="24"/>
              </w:rPr>
            </w:pPr>
          </w:p>
        </w:tc>
        <w:tc>
          <w:tcPr>
            <w:tcW w:w="1528"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335"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334"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92"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91" w:type="dxa"/>
            <w:noWrap/>
          </w:tcPr>
          <w:p>
            <w:pPr>
              <w:keepNext w:val="0"/>
              <w:keepLines w:val="0"/>
              <w:spacing w:before="0" w:afterLines="50" w:line="360" w:lineRule="exact"/>
              <w:jc w:val="center"/>
              <w:outlineLvl w:val="9"/>
              <w:rPr>
                <w:rFonts w:ascii="楷体" w:hAnsi="楷体" w:eastAsia="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jc w:val="center"/>
        </w:trPr>
        <w:tc>
          <w:tcPr>
            <w:tcW w:w="1475" w:type="dxa"/>
            <w:noWrap/>
          </w:tcPr>
          <w:p>
            <w:pPr>
              <w:spacing w:afterLines="50" w:line="360" w:lineRule="exact"/>
              <w:rPr>
                <w:rFonts w:ascii="楷体" w:hAnsi="楷体" w:eastAsia="楷体"/>
                <w:sz w:val="24"/>
                <w:szCs w:val="24"/>
              </w:rPr>
            </w:pPr>
          </w:p>
        </w:tc>
        <w:tc>
          <w:tcPr>
            <w:tcW w:w="1528"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335"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334"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92"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91" w:type="dxa"/>
            <w:noWrap/>
          </w:tcPr>
          <w:p>
            <w:pPr>
              <w:keepNext w:val="0"/>
              <w:keepLines w:val="0"/>
              <w:spacing w:before="0" w:afterLines="50" w:line="360" w:lineRule="exact"/>
              <w:jc w:val="center"/>
              <w:outlineLvl w:val="9"/>
              <w:rPr>
                <w:rFonts w:ascii="楷体" w:hAnsi="楷体" w:eastAsia="楷体"/>
                <w:b/>
                <w:bCs/>
                <w:sz w:val="24"/>
                <w:szCs w:val="24"/>
              </w:rPr>
            </w:pPr>
          </w:p>
        </w:tc>
      </w:tr>
    </w:tbl>
    <w:p>
      <w:pPr>
        <w:spacing w:afterLines="100" w:line="300" w:lineRule="auto"/>
        <w:rPr>
          <w:rFonts w:ascii="楷体" w:hAnsi="楷体" w:eastAsia="楷体"/>
          <w:sz w:val="24"/>
          <w:szCs w:val="24"/>
        </w:rPr>
      </w:pPr>
    </w:p>
    <w:p>
      <w:pPr>
        <w:pStyle w:val="19"/>
        <w:adjustRightInd w:val="0"/>
        <w:snapToGrid w:val="0"/>
        <w:spacing w:beforeLines="0" w:afterLines="50" w:line="360" w:lineRule="exact"/>
        <w:ind w:firstLine="0" w:firstLineChars="0"/>
        <w:outlineLvl w:val="0"/>
        <w:rPr>
          <w:rFonts w:ascii="楷体" w:hAnsi="楷体" w:eastAsia="楷体"/>
        </w:rPr>
      </w:pPr>
      <w:bookmarkStart w:id="113" w:name="_Toc494284941"/>
      <w:bookmarkStart w:id="114" w:name="_Toc28561"/>
      <w:bookmarkStart w:id="115" w:name="_Toc494285661"/>
      <w:bookmarkStart w:id="116" w:name="_Toc494225901"/>
      <w:bookmarkStart w:id="117" w:name="_Toc533512294"/>
      <w:bookmarkStart w:id="118" w:name="_Toc10644"/>
      <w:r>
        <w:rPr>
          <w:rFonts w:ascii="楷体" w:hAnsi="楷体" w:eastAsia="楷体"/>
        </w:rPr>
        <w:t>附表B   处置费用明细表</w:t>
      </w:r>
      <w:bookmarkEnd w:id="113"/>
      <w:bookmarkEnd w:id="114"/>
      <w:bookmarkEnd w:id="115"/>
      <w:bookmarkEnd w:id="116"/>
      <w:bookmarkEnd w:id="117"/>
      <w:bookmarkEnd w:id="118"/>
    </w:p>
    <w:tbl>
      <w:tblPr>
        <w:tblStyle w:val="23"/>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1285"/>
        <w:gridCol w:w="1414"/>
        <w:gridCol w:w="1413"/>
        <w:gridCol w:w="1157"/>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trPr>
        <w:tc>
          <w:tcPr>
            <w:tcW w:w="1506" w:type="dxa"/>
            <w:noWrap/>
            <w:vAlign w:val="center"/>
          </w:tcPr>
          <w:p>
            <w:pPr>
              <w:widowControl/>
              <w:spacing w:afterLines="50" w:line="360" w:lineRule="exact"/>
              <w:jc w:val="center"/>
              <w:rPr>
                <w:rFonts w:ascii="楷体" w:hAnsi="楷体" w:eastAsia="楷体"/>
                <w:b/>
                <w:sz w:val="24"/>
                <w:szCs w:val="24"/>
              </w:rPr>
            </w:pPr>
            <w:r>
              <w:rPr>
                <w:rFonts w:ascii="楷体" w:hAnsi="楷体" w:eastAsia="楷体"/>
                <w:b/>
                <w:sz w:val="24"/>
                <w:szCs w:val="24"/>
              </w:rPr>
              <w:t>处置费用</w:t>
            </w:r>
          </w:p>
        </w:tc>
        <w:tc>
          <w:tcPr>
            <w:tcW w:w="1285" w:type="dxa"/>
            <w:noWrap/>
            <w:vAlign w:val="center"/>
          </w:tcPr>
          <w:p>
            <w:pPr>
              <w:spacing w:afterLines="50" w:line="360" w:lineRule="exact"/>
              <w:jc w:val="center"/>
              <w:rPr>
                <w:rFonts w:ascii="楷体" w:hAnsi="楷体" w:eastAsia="楷体"/>
                <w:b/>
                <w:sz w:val="24"/>
                <w:szCs w:val="24"/>
              </w:rPr>
            </w:pPr>
            <w:r>
              <w:rPr>
                <w:rFonts w:ascii="楷体" w:hAnsi="楷体" w:eastAsia="楷体"/>
                <w:b/>
                <w:sz w:val="24"/>
                <w:szCs w:val="24"/>
              </w:rPr>
              <w:t>主债权</w:t>
            </w:r>
          </w:p>
        </w:tc>
        <w:tc>
          <w:tcPr>
            <w:tcW w:w="1414" w:type="dxa"/>
            <w:noWrap/>
            <w:vAlign w:val="center"/>
          </w:tcPr>
          <w:p>
            <w:pPr>
              <w:spacing w:afterLines="50" w:line="360" w:lineRule="exact"/>
              <w:jc w:val="center"/>
              <w:rPr>
                <w:rFonts w:ascii="楷体" w:hAnsi="楷体" w:eastAsia="楷体"/>
                <w:b/>
                <w:sz w:val="24"/>
                <w:szCs w:val="24"/>
              </w:rPr>
            </w:pPr>
            <w:r>
              <w:rPr>
                <w:rFonts w:ascii="楷体" w:hAnsi="楷体" w:eastAsia="楷体"/>
                <w:b/>
                <w:sz w:val="24"/>
                <w:szCs w:val="24"/>
              </w:rPr>
              <w:t>收款方</w:t>
            </w:r>
          </w:p>
        </w:tc>
        <w:tc>
          <w:tcPr>
            <w:tcW w:w="1413" w:type="dxa"/>
            <w:tcBorders>
              <w:bottom w:val="single" w:color="auto" w:sz="4" w:space="0"/>
            </w:tcBorders>
            <w:noWrap/>
            <w:vAlign w:val="center"/>
          </w:tcPr>
          <w:p>
            <w:pPr>
              <w:spacing w:afterLines="50" w:line="360" w:lineRule="exact"/>
              <w:jc w:val="center"/>
              <w:rPr>
                <w:rFonts w:ascii="楷体" w:hAnsi="楷体" w:eastAsia="楷体"/>
                <w:b/>
                <w:sz w:val="24"/>
                <w:szCs w:val="24"/>
              </w:rPr>
            </w:pPr>
            <w:r>
              <w:rPr>
                <w:rFonts w:ascii="楷体" w:hAnsi="楷体" w:eastAsia="楷体"/>
                <w:b/>
                <w:sz w:val="24"/>
                <w:szCs w:val="24"/>
              </w:rPr>
              <w:t>金额（万元）</w:t>
            </w:r>
          </w:p>
        </w:tc>
        <w:tc>
          <w:tcPr>
            <w:tcW w:w="1157" w:type="dxa"/>
            <w:tcBorders>
              <w:bottom w:val="single" w:color="auto" w:sz="4" w:space="0"/>
            </w:tcBorders>
            <w:noWrap/>
            <w:vAlign w:val="center"/>
          </w:tcPr>
          <w:p>
            <w:pPr>
              <w:spacing w:afterLines="50" w:line="360" w:lineRule="exact"/>
              <w:jc w:val="center"/>
              <w:rPr>
                <w:rFonts w:ascii="楷体" w:hAnsi="楷体" w:eastAsia="楷体"/>
                <w:b/>
                <w:sz w:val="24"/>
                <w:szCs w:val="24"/>
              </w:rPr>
            </w:pPr>
            <w:r>
              <w:rPr>
                <w:rFonts w:ascii="楷体" w:hAnsi="楷体" w:eastAsia="楷体"/>
                <w:b/>
                <w:sz w:val="24"/>
                <w:szCs w:val="24"/>
              </w:rPr>
              <w:t>日期</w:t>
            </w:r>
          </w:p>
        </w:tc>
        <w:tc>
          <w:tcPr>
            <w:tcW w:w="1021" w:type="dxa"/>
            <w:noWrap/>
            <w:vAlign w:val="center"/>
          </w:tcPr>
          <w:p>
            <w:pPr>
              <w:spacing w:afterLines="50" w:line="360" w:lineRule="exact"/>
              <w:jc w:val="center"/>
              <w:rPr>
                <w:rFonts w:ascii="楷体" w:hAnsi="楷体" w:eastAsia="楷体"/>
                <w:b/>
                <w:sz w:val="24"/>
                <w:szCs w:val="24"/>
              </w:rPr>
            </w:pPr>
            <w:r>
              <w:rPr>
                <w:rFonts w:ascii="楷体" w:hAnsi="楷体" w:eastAsia="楷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1506" w:type="dxa"/>
            <w:noWrap/>
            <w:vAlign w:val="center"/>
          </w:tcPr>
          <w:p>
            <w:pPr>
              <w:spacing w:afterLines="50" w:line="360" w:lineRule="exact"/>
              <w:rPr>
                <w:rFonts w:ascii="楷体" w:hAnsi="楷体" w:eastAsia="楷体"/>
                <w:sz w:val="24"/>
                <w:szCs w:val="24"/>
              </w:rPr>
            </w:pPr>
          </w:p>
        </w:tc>
        <w:tc>
          <w:tcPr>
            <w:tcW w:w="1285" w:type="dxa"/>
            <w:noWrap/>
            <w:vAlign w:val="center"/>
          </w:tcPr>
          <w:p>
            <w:pPr>
              <w:keepNext w:val="0"/>
              <w:keepLines w:val="0"/>
              <w:spacing w:before="0" w:afterLines="50" w:line="360" w:lineRule="exact"/>
              <w:outlineLvl w:val="9"/>
              <w:rPr>
                <w:rFonts w:ascii="楷体" w:hAnsi="楷体" w:eastAsia="楷体"/>
                <w:b/>
                <w:bCs/>
                <w:sz w:val="24"/>
                <w:szCs w:val="24"/>
              </w:rPr>
            </w:pPr>
          </w:p>
        </w:tc>
        <w:tc>
          <w:tcPr>
            <w:tcW w:w="1414"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413"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157"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21" w:type="dxa"/>
            <w:noWrap/>
          </w:tcPr>
          <w:p>
            <w:pPr>
              <w:keepNext w:val="0"/>
              <w:keepLines w:val="0"/>
              <w:spacing w:before="0" w:afterLines="50" w:line="360" w:lineRule="exact"/>
              <w:jc w:val="center"/>
              <w:outlineLvl w:val="9"/>
              <w:rPr>
                <w:rFonts w:ascii="楷体" w:hAnsi="楷体" w:eastAsia="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1506" w:type="dxa"/>
            <w:noWrap/>
          </w:tcPr>
          <w:p>
            <w:pPr>
              <w:spacing w:afterLines="50" w:line="360" w:lineRule="exact"/>
              <w:rPr>
                <w:rFonts w:ascii="楷体" w:hAnsi="楷体" w:eastAsia="楷体"/>
                <w:sz w:val="24"/>
                <w:szCs w:val="24"/>
              </w:rPr>
            </w:pPr>
          </w:p>
        </w:tc>
        <w:tc>
          <w:tcPr>
            <w:tcW w:w="1285" w:type="dxa"/>
            <w:noWrap/>
            <w:vAlign w:val="center"/>
          </w:tcPr>
          <w:p>
            <w:pPr>
              <w:keepNext w:val="0"/>
              <w:keepLines w:val="0"/>
              <w:spacing w:before="0" w:afterLines="50" w:line="360" w:lineRule="exact"/>
              <w:outlineLvl w:val="9"/>
              <w:rPr>
                <w:rFonts w:ascii="楷体" w:hAnsi="楷体" w:eastAsia="楷体"/>
                <w:b/>
                <w:bCs/>
                <w:sz w:val="24"/>
                <w:szCs w:val="24"/>
              </w:rPr>
            </w:pPr>
          </w:p>
        </w:tc>
        <w:tc>
          <w:tcPr>
            <w:tcW w:w="1414"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413"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157"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21" w:type="dxa"/>
            <w:noWrap/>
          </w:tcPr>
          <w:p>
            <w:pPr>
              <w:keepNext w:val="0"/>
              <w:keepLines w:val="0"/>
              <w:spacing w:before="0" w:afterLines="50" w:line="360" w:lineRule="exact"/>
              <w:jc w:val="center"/>
              <w:outlineLvl w:val="9"/>
              <w:rPr>
                <w:rFonts w:ascii="楷体" w:hAnsi="楷体" w:eastAsia="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1506" w:type="dxa"/>
            <w:noWrap/>
          </w:tcPr>
          <w:p>
            <w:pPr>
              <w:spacing w:afterLines="50" w:line="360" w:lineRule="exact"/>
              <w:rPr>
                <w:rFonts w:ascii="楷体" w:hAnsi="楷体" w:eastAsia="楷体"/>
                <w:sz w:val="24"/>
                <w:szCs w:val="24"/>
              </w:rPr>
            </w:pPr>
          </w:p>
        </w:tc>
        <w:tc>
          <w:tcPr>
            <w:tcW w:w="1285" w:type="dxa"/>
            <w:noWrap/>
            <w:vAlign w:val="center"/>
          </w:tcPr>
          <w:p>
            <w:pPr>
              <w:keepNext w:val="0"/>
              <w:keepLines w:val="0"/>
              <w:spacing w:before="0" w:afterLines="50" w:line="360" w:lineRule="exact"/>
              <w:outlineLvl w:val="9"/>
              <w:rPr>
                <w:rFonts w:ascii="楷体" w:hAnsi="楷体" w:eastAsia="楷体"/>
                <w:b/>
                <w:bCs/>
                <w:sz w:val="24"/>
                <w:szCs w:val="24"/>
              </w:rPr>
            </w:pPr>
          </w:p>
        </w:tc>
        <w:tc>
          <w:tcPr>
            <w:tcW w:w="1414" w:type="dxa"/>
            <w:noWrap/>
            <w:vAlign w:val="center"/>
          </w:tcPr>
          <w:p>
            <w:pPr>
              <w:spacing w:afterLines="50" w:line="360" w:lineRule="exact"/>
              <w:jc w:val="center"/>
              <w:rPr>
                <w:rFonts w:ascii="楷体" w:hAnsi="楷体" w:eastAsia="楷体"/>
                <w:sz w:val="24"/>
                <w:szCs w:val="24"/>
              </w:rPr>
            </w:pPr>
          </w:p>
        </w:tc>
        <w:tc>
          <w:tcPr>
            <w:tcW w:w="1413" w:type="dxa"/>
            <w:noWrap/>
            <w:vAlign w:val="center"/>
          </w:tcPr>
          <w:p>
            <w:pPr>
              <w:spacing w:afterLines="50" w:line="360" w:lineRule="exact"/>
              <w:jc w:val="center"/>
              <w:rPr>
                <w:rFonts w:ascii="楷体" w:hAnsi="楷体" w:eastAsia="楷体"/>
                <w:sz w:val="24"/>
                <w:szCs w:val="24"/>
              </w:rPr>
            </w:pPr>
          </w:p>
        </w:tc>
        <w:tc>
          <w:tcPr>
            <w:tcW w:w="1157" w:type="dxa"/>
            <w:noWrap/>
            <w:vAlign w:val="center"/>
          </w:tcPr>
          <w:p>
            <w:pPr>
              <w:spacing w:afterLines="50" w:line="360" w:lineRule="exact"/>
              <w:jc w:val="center"/>
              <w:rPr>
                <w:rFonts w:ascii="楷体" w:hAnsi="楷体" w:eastAsia="楷体"/>
                <w:sz w:val="24"/>
                <w:szCs w:val="24"/>
              </w:rPr>
            </w:pPr>
          </w:p>
        </w:tc>
        <w:tc>
          <w:tcPr>
            <w:tcW w:w="1021" w:type="dxa"/>
            <w:noWrap/>
          </w:tcPr>
          <w:p>
            <w:pPr>
              <w:spacing w:afterLines="50" w:line="36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1506" w:type="dxa"/>
            <w:noWrap/>
          </w:tcPr>
          <w:p>
            <w:pPr>
              <w:spacing w:afterLines="50" w:line="360" w:lineRule="exact"/>
              <w:rPr>
                <w:rFonts w:ascii="楷体" w:hAnsi="楷体" w:eastAsia="楷体"/>
                <w:sz w:val="24"/>
                <w:szCs w:val="24"/>
              </w:rPr>
            </w:pPr>
          </w:p>
        </w:tc>
        <w:tc>
          <w:tcPr>
            <w:tcW w:w="1285" w:type="dxa"/>
            <w:noWrap/>
            <w:vAlign w:val="center"/>
          </w:tcPr>
          <w:p>
            <w:pPr>
              <w:spacing w:afterLines="50" w:line="360" w:lineRule="exact"/>
              <w:jc w:val="center"/>
              <w:rPr>
                <w:rFonts w:ascii="楷体" w:hAnsi="楷体" w:eastAsia="楷体"/>
                <w:sz w:val="24"/>
                <w:szCs w:val="24"/>
              </w:rPr>
            </w:pPr>
          </w:p>
        </w:tc>
        <w:tc>
          <w:tcPr>
            <w:tcW w:w="1414" w:type="dxa"/>
            <w:noWrap/>
            <w:vAlign w:val="center"/>
          </w:tcPr>
          <w:p>
            <w:pPr>
              <w:spacing w:afterLines="50" w:line="360" w:lineRule="exact"/>
              <w:jc w:val="center"/>
              <w:rPr>
                <w:rFonts w:ascii="楷体" w:hAnsi="楷体" w:eastAsia="楷体"/>
                <w:sz w:val="24"/>
                <w:szCs w:val="24"/>
              </w:rPr>
            </w:pPr>
          </w:p>
        </w:tc>
        <w:tc>
          <w:tcPr>
            <w:tcW w:w="1413" w:type="dxa"/>
            <w:noWrap/>
            <w:vAlign w:val="center"/>
          </w:tcPr>
          <w:p>
            <w:pPr>
              <w:spacing w:afterLines="50" w:line="360" w:lineRule="exact"/>
              <w:jc w:val="center"/>
              <w:rPr>
                <w:rFonts w:ascii="楷体" w:hAnsi="楷体" w:eastAsia="楷体"/>
                <w:sz w:val="24"/>
                <w:szCs w:val="24"/>
              </w:rPr>
            </w:pPr>
          </w:p>
        </w:tc>
        <w:tc>
          <w:tcPr>
            <w:tcW w:w="1157" w:type="dxa"/>
            <w:noWrap/>
            <w:vAlign w:val="center"/>
          </w:tcPr>
          <w:p>
            <w:pPr>
              <w:spacing w:afterLines="50" w:line="360" w:lineRule="exact"/>
              <w:jc w:val="center"/>
              <w:rPr>
                <w:rFonts w:ascii="楷体" w:hAnsi="楷体" w:eastAsia="楷体"/>
                <w:sz w:val="24"/>
                <w:szCs w:val="24"/>
              </w:rPr>
            </w:pPr>
          </w:p>
        </w:tc>
        <w:tc>
          <w:tcPr>
            <w:tcW w:w="1021" w:type="dxa"/>
            <w:noWrap/>
          </w:tcPr>
          <w:p>
            <w:pPr>
              <w:spacing w:afterLines="50" w:line="36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506" w:type="dxa"/>
            <w:noWrap/>
          </w:tcPr>
          <w:p>
            <w:pPr>
              <w:spacing w:afterLines="50" w:line="360" w:lineRule="exact"/>
              <w:rPr>
                <w:rFonts w:ascii="楷体" w:hAnsi="楷体" w:eastAsia="楷体"/>
                <w:sz w:val="24"/>
                <w:szCs w:val="24"/>
              </w:rPr>
            </w:pPr>
          </w:p>
        </w:tc>
        <w:tc>
          <w:tcPr>
            <w:tcW w:w="1285" w:type="dxa"/>
            <w:noWrap/>
            <w:vAlign w:val="center"/>
          </w:tcPr>
          <w:p>
            <w:pPr>
              <w:spacing w:afterLines="50" w:line="360" w:lineRule="exact"/>
              <w:jc w:val="center"/>
              <w:rPr>
                <w:rFonts w:ascii="楷体" w:hAnsi="楷体" w:eastAsia="楷体"/>
                <w:sz w:val="24"/>
                <w:szCs w:val="24"/>
              </w:rPr>
            </w:pPr>
          </w:p>
        </w:tc>
        <w:tc>
          <w:tcPr>
            <w:tcW w:w="1414" w:type="dxa"/>
            <w:noWrap/>
            <w:vAlign w:val="center"/>
          </w:tcPr>
          <w:p>
            <w:pPr>
              <w:spacing w:afterLines="50" w:line="360" w:lineRule="exact"/>
              <w:jc w:val="center"/>
              <w:rPr>
                <w:rFonts w:ascii="楷体" w:hAnsi="楷体" w:eastAsia="楷体"/>
                <w:sz w:val="24"/>
                <w:szCs w:val="24"/>
              </w:rPr>
            </w:pPr>
          </w:p>
        </w:tc>
        <w:tc>
          <w:tcPr>
            <w:tcW w:w="1413" w:type="dxa"/>
            <w:noWrap/>
            <w:vAlign w:val="center"/>
          </w:tcPr>
          <w:p>
            <w:pPr>
              <w:spacing w:afterLines="50" w:line="360" w:lineRule="exact"/>
              <w:jc w:val="center"/>
              <w:rPr>
                <w:rFonts w:ascii="楷体" w:hAnsi="楷体" w:eastAsia="楷体"/>
                <w:sz w:val="24"/>
                <w:szCs w:val="24"/>
              </w:rPr>
            </w:pPr>
          </w:p>
        </w:tc>
        <w:tc>
          <w:tcPr>
            <w:tcW w:w="1157" w:type="dxa"/>
            <w:noWrap/>
            <w:vAlign w:val="center"/>
          </w:tcPr>
          <w:p>
            <w:pPr>
              <w:spacing w:afterLines="50" w:line="360" w:lineRule="exact"/>
              <w:jc w:val="center"/>
              <w:rPr>
                <w:rFonts w:ascii="楷体" w:hAnsi="楷体" w:eastAsia="楷体"/>
                <w:sz w:val="24"/>
                <w:szCs w:val="24"/>
              </w:rPr>
            </w:pPr>
          </w:p>
        </w:tc>
        <w:tc>
          <w:tcPr>
            <w:tcW w:w="1021" w:type="dxa"/>
            <w:noWrap/>
          </w:tcPr>
          <w:p>
            <w:pPr>
              <w:spacing w:afterLines="50" w:line="360" w:lineRule="exact"/>
              <w:jc w:val="center"/>
              <w:rPr>
                <w:rFonts w:ascii="楷体" w:hAnsi="楷体" w:eastAsia="楷体"/>
                <w:sz w:val="24"/>
                <w:szCs w:val="24"/>
              </w:rPr>
            </w:pPr>
          </w:p>
        </w:tc>
      </w:tr>
    </w:tbl>
    <w:p>
      <w:pPr>
        <w:spacing w:afterLines="100" w:line="300" w:lineRule="auto"/>
        <w:rPr>
          <w:rFonts w:ascii="楷体" w:hAnsi="楷体" w:eastAsia="楷体"/>
          <w:sz w:val="24"/>
          <w:szCs w:val="24"/>
        </w:rPr>
      </w:pPr>
    </w:p>
    <w:p>
      <w:pPr>
        <w:spacing w:afterLines="100" w:line="300" w:lineRule="auto"/>
        <w:rPr>
          <w:rFonts w:ascii="楷体" w:hAnsi="楷体" w:eastAsia="楷体"/>
          <w:sz w:val="24"/>
          <w:szCs w:val="24"/>
        </w:rPr>
      </w:pPr>
    </w:p>
    <w:p>
      <w:pPr>
        <w:spacing w:afterLines="100" w:line="300" w:lineRule="auto"/>
        <w:rPr>
          <w:rFonts w:ascii="楷体" w:hAnsi="楷体" w:eastAsia="楷体"/>
          <w:sz w:val="23"/>
          <w:szCs w:val="28"/>
        </w:rPr>
      </w:pPr>
    </w:p>
    <w:p>
      <w:pPr>
        <w:spacing w:afterLines="100" w:line="300" w:lineRule="auto"/>
        <w:rPr>
          <w:rFonts w:ascii="楷体" w:hAnsi="楷体" w:eastAsia="楷体"/>
          <w:sz w:val="23"/>
          <w:szCs w:val="28"/>
        </w:rPr>
      </w:pPr>
    </w:p>
    <w:p>
      <w:pPr>
        <w:spacing w:afterLines="100" w:line="300" w:lineRule="auto"/>
        <w:rPr>
          <w:rFonts w:ascii="楷体" w:hAnsi="楷体" w:eastAsia="楷体"/>
          <w:sz w:val="23"/>
          <w:szCs w:val="28"/>
        </w:rPr>
      </w:pPr>
    </w:p>
    <w:sectPr>
      <w:footerReference r:id="rId3" w:type="default"/>
      <w:footerReference r:id="rId4" w:type="even"/>
      <w:pgSz w:w="11907" w:h="16839"/>
      <w:pgMar w:top="1440" w:right="1984" w:bottom="1440" w:left="1800" w:header="0" w:footer="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fldChar w:fldCharType="begin"/>
    </w:r>
    <w:r>
      <w:rPr>
        <w:rStyle w:val="26"/>
      </w:rPr>
      <w:instrText xml:space="preserve"> PAGE </w:instrText>
    </w:r>
    <w:r>
      <w:fldChar w:fldCharType="separate"/>
    </w:r>
    <w:r>
      <w:rPr>
        <w:rStyle w:val="26"/>
      </w:rPr>
      <w:t>8</w:t>
    </w:r>
    <w:r>
      <w:fldChar w:fldCharType="end"/>
    </w:r>
  </w:p>
  <w:p>
    <w:pPr>
      <w:pStyle w:val="14"/>
      <w:ind w:right="360"/>
      <w:jc w:val="cente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fldChar w:fldCharType="begin"/>
    </w:r>
    <w:r>
      <w:rPr>
        <w:rStyle w:val="26"/>
      </w:rPr>
      <w:instrText xml:space="preserve"> PAGE </w:instrText>
    </w:r>
    <w:r>
      <w:fldChar w:fldCharType="end"/>
    </w:r>
  </w:p>
  <w:p>
    <w:pPr>
      <w:pStyle w:val="1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DF5D96"/>
    <w:multiLevelType w:val="multilevel"/>
    <w:tmpl w:val="1BDF5D96"/>
    <w:lvl w:ilvl="0" w:tentative="0">
      <w:start w:val="1"/>
      <w:numFmt w:val="decimal"/>
      <w:lvlText w:val="%1."/>
      <w:lvlJc w:val="left"/>
      <w:pPr>
        <w:tabs>
          <w:tab w:val="left" w:pos="709"/>
        </w:tabs>
        <w:ind w:left="709" w:hanging="709"/>
      </w:pPr>
      <w:rPr>
        <w:rFonts w:hint="default" w:ascii="楷体" w:hAnsi="楷体" w:eastAsia="楷体" w:cs="Times New Roman"/>
        <w:b w:val="0"/>
        <w:bCs/>
      </w:rPr>
    </w:lvl>
    <w:lvl w:ilvl="1" w:tentative="0">
      <w:start w:val="1"/>
      <w:numFmt w:val="decimal"/>
      <w:isLgl/>
      <w:lvlText w:val="%1.%2"/>
      <w:lvlJc w:val="left"/>
      <w:pPr>
        <w:tabs>
          <w:tab w:val="left" w:pos="709"/>
        </w:tabs>
        <w:ind w:left="709" w:hanging="709"/>
      </w:pPr>
      <w:rPr>
        <w:rFonts w:hint="default" w:ascii="Times New Roman" w:hAnsi="Times New Roman" w:cs="Times New Roman"/>
        <w:b w:val="0"/>
        <w:bCs w:val="0"/>
      </w:rPr>
    </w:lvl>
    <w:lvl w:ilvl="2" w:tentative="0">
      <w:start w:val="1"/>
      <w:numFmt w:val="decimal"/>
      <w:lvlText w:val="(%3)"/>
      <w:lvlJc w:val="left"/>
      <w:pPr>
        <w:tabs>
          <w:tab w:val="left" w:pos="1418"/>
        </w:tabs>
        <w:ind w:left="1418" w:hanging="709"/>
      </w:pPr>
      <w:rPr>
        <w:rFonts w:hint="default" w:ascii="Times New Roman" w:hAnsi="Times New Roman" w:cs="Times New Roman"/>
        <w:b w:val="0"/>
        <w:i w:val="0"/>
        <w:color w:val="auto"/>
      </w:rPr>
    </w:lvl>
    <w:lvl w:ilvl="3" w:tentative="0">
      <w:start w:val="1"/>
      <w:numFmt w:val="lowerLetter"/>
      <w:lvlText w:val="(%4)"/>
      <w:lvlJc w:val="left"/>
      <w:pPr>
        <w:tabs>
          <w:tab w:val="left" w:pos="1701"/>
        </w:tabs>
        <w:ind w:left="1701" w:hanging="454"/>
      </w:pPr>
      <w:rPr>
        <w:rFonts w:hint="default" w:ascii="Times New Roman" w:hAnsi="Times New Roman" w:cs="Times New Roman"/>
        <w:b w:val="0"/>
        <w:i w:val="0"/>
      </w:rPr>
    </w:lvl>
    <w:lvl w:ilvl="4" w:tentative="0">
      <w:start w:val="1"/>
      <w:numFmt w:val="lowerRoman"/>
      <w:lvlText w:val="(%5)"/>
      <w:lvlJc w:val="left"/>
      <w:pPr>
        <w:tabs>
          <w:tab w:val="left" w:pos="2268"/>
        </w:tabs>
        <w:ind w:left="2268" w:hanging="567"/>
      </w:pPr>
      <w:rPr>
        <w:rFonts w:hint="default" w:ascii="Arial" w:hAnsi="Arial" w:cs="Times New Roman"/>
        <w:b w:val="0"/>
      </w:rPr>
    </w:lvl>
    <w:lvl w:ilvl="5" w:tentative="0">
      <w:start w:val="1"/>
      <w:numFmt w:val="lowerRoman"/>
      <w:lvlText w:val="(%6)"/>
      <w:lvlJc w:val="left"/>
      <w:pPr>
        <w:tabs>
          <w:tab w:val="left" w:pos="2160"/>
        </w:tabs>
        <w:ind w:left="2160" w:hanging="360"/>
      </w:pPr>
      <w:rPr>
        <w:rFonts w:hint="eastAsia" w:cs="Times New Roman"/>
      </w:rPr>
    </w:lvl>
    <w:lvl w:ilvl="6" w:tentative="0">
      <w:start w:val="1"/>
      <w:numFmt w:val="decimal"/>
      <w:lvlText w:val="%7."/>
      <w:lvlJc w:val="left"/>
      <w:pPr>
        <w:tabs>
          <w:tab w:val="left" w:pos="2520"/>
        </w:tabs>
        <w:ind w:left="2520" w:hanging="360"/>
      </w:pPr>
      <w:rPr>
        <w:rFonts w:hint="eastAsia" w:cs="Times New Roman"/>
      </w:rPr>
    </w:lvl>
    <w:lvl w:ilvl="7" w:tentative="0">
      <w:start w:val="1"/>
      <w:numFmt w:val="lowerLetter"/>
      <w:lvlText w:val="%8."/>
      <w:lvlJc w:val="left"/>
      <w:pPr>
        <w:tabs>
          <w:tab w:val="left" w:pos="2880"/>
        </w:tabs>
        <w:ind w:left="2880" w:hanging="360"/>
      </w:pPr>
      <w:rPr>
        <w:rFonts w:hint="eastAsia" w:cs="Times New Roman"/>
      </w:rPr>
    </w:lvl>
    <w:lvl w:ilvl="8" w:tentative="0">
      <w:start w:val="1"/>
      <w:numFmt w:val="lowerRoman"/>
      <w:lvlText w:val="%9."/>
      <w:lvlJc w:val="left"/>
      <w:pPr>
        <w:tabs>
          <w:tab w:val="left" w:pos="3240"/>
        </w:tabs>
        <w:ind w:left="3240" w:hanging="360"/>
      </w:pPr>
      <w:rPr>
        <w:rFonts w:hint="eastAsia" w:cs="Times New Roman"/>
      </w:rPr>
    </w:lvl>
  </w:abstractNum>
  <w:abstractNum w:abstractNumId="1">
    <w:nsid w:val="235825F1"/>
    <w:multiLevelType w:val="multilevel"/>
    <w:tmpl w:val="235825F1"/>
    <w:lvl w:ilvl="0" w:tentative="0">
      <w:start w:val="1"/>
      <w:numFmt w:val="decimal"/>
      <w:lvlText w:val="2.3.%1"/>
      <w:lvlJc w:val="left"/>
      <w:pPr>
        <w:ind w:left="420" w:hanging="420"/>
      </w:pPr>
      <w:rPr>
        <w:rFonts w:hint="eastAsia" w:ascii="楷体" w:hAnsi="楷体" w:eastAsia="楷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752715D"/>
    <w:multiLevelType w:val="multilevel"/>
    <w:tmpl w:val="3752715D"/>
    <w:lvl w:ilvl="0" w:tentative="0">
      <w:start w:val="1"/>
      <w:numFmt w:val="decimal"/>
      <w:lvlText w:val="%1."/>
      <w:lvlJc w:val="left"/>
      <w:pPr>
        <w:tabs>
          <w:tab w:val="left" w:pos="709"/>
        </w:tabs>
        <w:ind w:left="709" w:hanging="709"/>
      </w:pPr>
      <w:rPr>
        <w:rFonts w:hint="default" w:ascii="楷体" w:hAnsi="楷体" w:eastAsia="楷体" w:cs="Times New Roman"/>
        <w:b/>
        <w:bCs w:val="0"/>
      </w:rPr>
    </w:lvl>
    <w:lvl w:ilvl="1" w:tentative="0">
      <w:start w:val="1"/>
      <w:numFmt w:val="decimal"/>
      <w:isLgl/>
      <w:lvlText w:val="%1.%2"/>
      <w:lvlJc w:val="left"/>
      <w:pPr>
        <w:tabs>
          <w:tab w:val="left" w:pos="709"/>
        </w:tabs>
        <w:ind w:left="709" w:hanging="709"/>
      </w:pPr>
      <w:rPr>
        <w:rFonts w:hint="default" w:ascii="楷体" w:hAnsi="楷体" w:eastAsia="楷体" w:cs="Times New Roman"/>
        <w:b w:val="0"/>
        <w:bCs w:val="0"/>
      </w:rPr>
    </w:lvl>
    <w:lvl w:ilvl="2" w:tentative="0">
      <w:start w:val="1"/>
      <w:numFmt w:val="decimal"/>
      <w:lvlText w:val="(%3)"/>
      <w:lvlJc w:val="left"/>
      <w:pPr>
        <w:tabs>
          <w:tab w:val="left" w:pos="1418"/>
        </w:tabs>
        <w:ind w:left="1418" w:hanging="709"/>
      </w:pPr>
      <w:rPr>
        <w:rFonts w:hint="default" w:ascii="Times New Roman" w:hAnsi="Times New Roman" w:cs="Times New Roman"/>
        <w:b w:val="0"/>
        <w:i w:val="0"/>
        <w:color w:val="auto"/>
      </w:rPr>
    </w:lvl>
    <w:lvl w:ilvl="3" w:tentative="0">
      <w:start w:val="1"/>
      <w:numFmt w:val="lowerLetter"/>
      <w:lvlText w:val="(%4)"/>
      <w:lvlJc w:val="left"/>
      <w:pPr>
        <w:tabs>
          <w:tab w:val="left" w:pos="1701"/>
        </w:tabs>
        <w:ind w:left="1701" w:hanging="454"/>
      </w:pPr>
      <w:rPr>
        <w:rFonts w:hint="default" w:ascii="Times New Roman" w:hAnsi="Times New Roman" w:cs="Times New Roman"/>
        <w:b w:val="0"/>
        <w:i w:val="0"/>
      </w:rPr>
    </w:lvl>
    <w:lvl w:ilvl="4" w:tentative="0">
      <w:start w:val="1"/>
      <w:numFmt w:val="lowerRoman"/>
      <w:lvlText w:val="(%5)"/>
      <w:lvlJc w:val="left"/>
      <w:pPr>
        <w:tabs>
          <w:tab w:val="left" w:pos="2268"/>
        </w:tabs>
        <w:ind w:left="2268" w:hanging="567"/>
      </w:pPr>
      <w:rPr>
        <w:rFonts w:hint="default" w:ascii="Arial" w:hAnsi="Arial" w:cs="Times New Roman"/>
        <w:b w:val="0"/>
      </w:rPr>
    </w:lvl>
    <w:lvl w:ilvl="5" w:tentative="0">
      <w:start w:val="1"/>
      <w:numFmt w:val="lowerRoman"/>
      <w:lvlText w:val="(%6)"/>
      <w:lvlJc w:val="left"/>
      <w:pPr>
        <w:tabs>
          <w:tab w:val="left" w:pos="2160"/>
        </w:tabs>
        <w:ind w:left="2160" w:hanging="360"/>
      </w:pPr>
      <w:rPr>
        <w:rFonts w:hint="eastAsia" w:cs="Times New Roman"/>
      </w:rPr>
    </w:lvl>
    <w:lvl w:ilvl="6" w:tentative="0">
      <w:start w:val="1"/>
      <w:numFmt w:val="decimal"/>
      <w:lvlText w:val="%7."/>
      <w:lvlJc w:val="left"/>
      <w:pPr>
        <w:tabs>
          <w:tab w:val="left" w:pos="2520"/>
        </w:tabs>
        <w:ind w:left="2520" w:hanging="360"/>
      </w:pPr>
      <w:rPr>
        <w:rFonts w:hint="eastAsia" w:cs="Times New Roman"/>
      </w:rPr>
    </w:lvl>
    <w:lvl w:ilvl="7" w:tentative="0">
      <w:start w:val="1"/>
      <w:numFmt w:val="lowerLetter"/>
      <w:lvlText w:val="%8."/>
      <w:lvlJc w:val="left"/>
      <w:pPr>
        <w:tabs>
          <w:tab w:val="left" w:pos="2880"/>
        </w:tabs>
        <w:ind w:left="2880" w:hanging="360"/>
      </w:pPr>
      <w:rPr>
        <w:rFonts w:hint="eastAsia" w:cs="Times New Roman"/>
      </w:rPr>
    </w:lvl>
    <w:lvl w:ilvl="8" w:tentative="0">
      <w:start w:val="1"/>
      <w:numFmt w:val="lowerRoman"/>
      <w:lvlText w:val="%9."/>
      <w:lvlJc w:val="left"/>
      <w:pPr>
        <w:tabs>
          <w:tab w:val="left" w:pos="3240"/>
        </w:tabs>
        <w:ind w:left="3240" w:hanging="360"/>
      </w:pPr>
      <w:rPr>
        <w:rFonts w:hint="eastAsia" w:cs="Times New Roman"/>
      </w:rPr>
    </w:lvl>
  </w:abstractNum>
  <w:abstractNum w:abstractNumId="3">
    <w:nsid w:val="426D105D"/>
    <w:multiLevelType w:val="multilevel"/>
    <w:tmpl w:val="426D105D"/>
    <w:lvl w:ilvl="0" w:tentative="0">
      <w:start w:val="1"/>
      <w:numFmt w:val="decimal"/>
      <w:lvlText w:val="5.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7B36200"/>
    <w:multiLevelType w:val="multilevel"/>
    <w:tmpl w:val="47B36200"/>
    <w:lvl w:ilvl="0" w:tentative="0">
      <w:start w:val="1"/>
      <w:numFmt w:val="decimal"/>
      <w:lvlText w:val="10.2.%1"/>
      <w:lvlJc w:val="left"/>
      <w:pPr>
        <w:ind w:left="420" w:hanging="420"/>
      </w:pPr>
      <w:rPr>
        <w:rFonts w:hint="eastAsia"/>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BDF4127"/>
    <w:multiLevelType w:val="multilevel"/>
    <w:tmpl w:val="5BDF4127"/>
    <w:lvl w:ilvl="0" w:tentative="0">
      <w:start w:val="1"/>
      <w:numFmt w:val="decimal"/>
      <w:lvlText w:val="5.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C3D5C06"/>
    <w:multiLevelType w:val="multilevel"/>
    <w:tmpl w:val="5C3D5C06"/>
    <w:lvl w:ilvl="0" w:tentative="0">
      <w:start w:val="1"/>
      <w:numFmt w:val="decimal"/>
      <w:lvlText w:val="8.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1B0376E"/>
    <w:multiLevelType w:val="multilevel"/>
    <w:tmpl w:val="71B0376E"/>
    <w:lvl w:ilvl="0" w:tentative="0">
      <w:start w:val="1"/>
      <w:numFmt w:val="decimal"/>
      <w:lvlText w:val="（%1）"/>
      <w:lvlJc w:val="left"/>
      <w:pPr>
        <w:ind w:left="2601" w:hanging="420"/>
      </w:pPr>
      <w:rPr>
        <w:rFonts w:hint="eastAsia"/>
      </w:rPr>
    </w:lvl>
    <w:lvl w:ilvl="1" w:tentative="0">
      <w:start w:val="1"/>
      <w:numFmt w:val="decimal"/>
      <w:lvlText w:val="（%2）"/>
      <w:lvlJc w:val="left"/>
      <w:pPr>
        <w:ind w:left="1838" w:hanging="420"/>
      </w:pPr>
      <w:rPr>
        <w:rFonts w:hint="default"/>
        <w:b w:val="0"/>
        <w:bCs w:val="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CD"/>
    <w:rsid w:val="00000AC2"/>
    <w:rsid w:val="00000DAD"/>
    <w:rsid w:val="0000115A"/>
    <w:rsid w:val="00001353"/>
    <w:rsid w:val="00001DB3"/>
    <w:rsid w:val="000030AB"/>
    <w:rsid w:val="000047F4"/>
    <w:rsid w:val="000049DE"/>
    <w:rsid w:val="00004CF6"/>
    <w:rsid w:val="00004F25"/>
    <w:rsid w:val="000064A5"/>
    <w:rsid w:val="000072FA"/>
    <w:rsid w:val="00010107"/>
    <w:rsid w:val="000137D9"/>
    <w:rsid w:val="000141E0"/>
    <w:rsid w:val="00014977"/>
    <w:rsid w:val="00015300"/>
    <w:rsid w:val="00016211"/>
    <w:rsid w:val="00016C12"/>
    <w:rsid w:val="000201CE"/>
    <w:rsid w:val="0002127C"/>
    <w:rsid w:val="00021549"/>
    <w:rsid w:val="00023740"/>
    <w:rsid w:val="0002389A"/>
    <w:rsid w:val="000255D8"/>
    <w:rsid w:val="00030551"/>
    <w:rsid w:val="00030558"/>
    <w:rsid w:val="000324AA"/>
    <w:rsid w:val="000368E0"/>
    <w:rsid w:val="00036FA8"/>
    <w:rsid w:val="000370AC"/>
    <w:rsid w:val="00037F5D"/>
    <w:rsid w:val="0004164C"/>
    <w:rsid w:val="00041725"/>
    <w:rsid w:val="00041C1F"/>
    <w:rsid w:val="000434AB"/>
    <w:rsid w:val="00043C46"/>
    <w:rsid w:val="00043CBD"/>
    <w:rsid w:val="00051EB2"/>
    <w:rsid w:val="0005293B"/>
    <w:rsid w:val="00052C65"/>
    <w:rsid w:val="000537AA"/>
    <w:rsid w:val="00053B44"/>
    <w:rsid w:val="000540BA"/>
    <w:rsid w:val="00054705"/>
    <w:rsid w:val="0005489E"/>
    <w:rsid w:val="000565B2"/>
    <w:rsid w:val="00056944"/>
    <w:rsid w:val="00056FC3"/>
    <w:rsid w:val="0006145C"/>
    <w:rsid w:val="000638E6"/>
    <w:rsid w:val="00063C61"/>
    <w:rsid w:val="0006559A"/>
    <w:rsid w:val="00065AEA"/>
    <w:rsid w:val="0006720F"/>
    <w:rsid w:val="0007009D"/>
    <w:rsid w:val="0007074C"/>
    <w:rsid w:val="000707F3"/>
    <w:rsid w:val="00070BE9"/>
    <w:rsid w:val="00071CE0"/>
    <w:rsid w:val="00071FFD"/>
    <w:rsid w:val="000726A6"/>
    <w:rsid w:val="000728AE"/>
    <w:rsid w:val="00074810"/>
    <w:rsid w:val="00074EE1"/>
    <w:rsid w:val="00075531"/>
    <w:rsid w:val="00085168"/>
    <w:rsid w:val="00086465"/>
    <w:rsid w:val="00086EB2"/>
    <w:rsid w:val="0008713E"/>
    <w:rsid w:val="000906B5"/>
    <w:rsid w:val="00091791"/>
    <w:rsid w:val="00092A08"/>
    <w:rsid w:val="00093EF6"/>
    <w:rsid w:val="00094FC4"/>
    <w:rsid w:val="00095A7F"/>
    <w:rsid w:val="000A2111"/>
    <w:rsid w:val="000A6600"/>
    <w:rsid w:val="000B1198"/>
    <w:rsid w:val="000B257E"/>
    <w:rsid w:val="000B7E29"/>
    <w:rsid w:val="000C0BB0"/>
    <w:rsid w:val="000C256B"/>
    <w:rsid w:val="000C3255"/>
    <w:rsid w:val="000C3791"/>
    <w:rsid w:val="000C4BC3"/>
    <w:rsid w:val="000C6F80"/>
    <w:rsid w:val="000C7587"/>
    <w:rsid w:val="000D0193"/>
    <w:rsid w:val="000D164A"/>
    <w:rsid w:val="000D16B1"/>
    <w:rsid w:val="000D4B7F"/>
    <w:rsid w:val="000D4C20"/>
    <w:rsid w:val="000D66CD"/>
    <w:rsid w:val="000D6D5D"/>
    <w:rsid w:val="000E35BA"/>
    <w:rsid w:val="000E6A2F"/>
    <w:rsid w:val="000F151B"/>
    <w:rsid w:val="000F3327"/>
    <w:rsid w:val="000F3DBE"/>
    <w:rsid w:val="000F4BA0"/>
    <w:rsid w:val="000F641D"/>
    <w:rsid w:val="000F79AA"/>
    <w:rsid w:val="00100476"/>
    <w:rsid w:val="001028EE"/>
    <w:rsid w:val="0010419C"/>
    <w:rsid w:val="00106662"/>
    <w:rsid w:val="00106D92"/>
    <w:rsid w:val="00110C80"/>
    <w:rsid w:val="00111CC7"/>
    <w:rsid w:val="00111F51"/>
    <w:rsid w:val="0011292F"/>
    <w:rsid w:val="001150BC"/>
    <w:rsid w:val="00115D2D"/>
    <w:rsid w:val="00116AE9"/>
    <w:rsid w:val="00116C76"/>
    <w:rsid w:val="00117BD8"/>
    <w:rsid w:val="00121293"/>
    <w:rsid w:val="00121CF6"/>
    <w:rsid w:val="00122F45"/>
    <w:rsid w:val="00124843"/>
    <w:rsid w:val="0012499E"/>
    <w:rsid w:val="0012775B"/>
    <w:rsid w:val="00132495"/>
    <w:rsid w:val="00132B9D"/>
    <w:rsid w:val="00133AD0"/>
    <w:rsid w:val="00134720"/>
    <w:rsid w:val="00134BB1"/>
    <w:rsid w:val="00136C3D"/>
    <w:rsid w:val="00137217"/>
    <w:rsid w:val="0014056A"/>
    <w:rsid w:val="00140D8E"/>
    <w:rsid w:val="001429B4"/>
    <w:rsid w:val="001430DA"/>
    <w:rsid w:val="00144D44"/>
    <w:rsid w:val="001460B7"/>
    <w:rsid w:val="001460EE"/>
    <w:rsid w:val="00147CAA"/>
    <w:rsid w:val="00151282"/>
    <w:rsid w:val="001515BF"/>
    <w:rsid w:val="00151734"/>
    <w:rsid w:val="00151E73"/>
    <w:rsid w:val="00152CAB"/>
    <w:rsid w:val="00153781"/>
    <w:rsid w:val="001537CF"/>
    <w:rsid w:val="001556A0"/>
    <w:rsid w:val="0015590B"/>
    <w:rsid w:val="0016070E"/>
    <w:rsid w:val="00160EB7"/>
    <w:rsid w:val="0016215F"/>
    <w:rsid w:val="00165366"/>
    <w:rsid w:val="00166AD6"/>
    <w:rsid w:val="00166E48"/>
    <w:rsid w:val="00167012"/>
    <w:rsid w:val="0016789B"/>
    <w:rsid w:val="00172A27"/>
    <w:rsid w:val="00174620"/>
    <w:rsid w:val="0017516B"/>
    <w:rsid w:val="00175E4D"/>
    <w:rsid w:val="001761F6"/>
    <w:rsid w:val="0017744E"/>
    <w:rsid w:val="00181B76"/>
    <w:rsid w:val="00181E22"/>
    <w:rsid w:val="00183F7C"/>
    <w:rsid w:val="0018499B"/>
    <w:rsid w:val="001849C5"/>
    <w:rsid w:val="00185C99"/>
    <w:rsid w:val="0018672A"/>
    <w:rsid w:val="00186C1F"/>
    <w:rsid w:val="00187680"/>
    <w:rsid w:val="00192CBC"/>
    <w:rsid w:val="00193257"/>
    <w:rsid w:val="00193283"/>
    <w:rsid w:val="00194FCD"/>
    <w:rsid w:val="001A00D7"/>
    <w:rsid w:val="001A08C1"/>
    <w:rsid w:val="001A1846"/>
    <w:rsid w:val="001A266F"/>
    <w:rsid w:val="001A3474"/>
    <w:rsid w:val="001A383E"/>
    <w:rsid w:val="001A5906"/>
    <w:rsid w:val="001A6342"/>
    <w:rsid w:val="001A6458"/>
    <w:rsid w:val="001A6858"/>
    <w:rsid w:val="001A7121"/>
    <w:rsid w:val="001A7827"/>
    <w:rsid w:val="001A7A2D"/>
    <w:rsid w:val="001B10EF"/>
    <w:rsid w:val="001B1C51"/>
    <w:rsid w:val="001B25FE"/>
    <w:rsid w:val="001B28EE"/>
    <w:rsid w:val="001B2F63"/>
    <w:rsid w:val="001B34FB"/>
    <w:rsid w:val="001B3F82"/>
    <w:rsid w:val="001B69AD"/>
    <w:rsid w:val="001B6AB5"/>
    <w:rsid w:val="001B6B0A"/>
    <w:rsid w:val="001C0FF8"/>
    <w:rsid w:val="001C2853"/>
    <w:rsid w:val="001C39F3"/>
    <w:rsid w:val="001C4133"/>
    <w:rsid w:val="001C417E"/>
    <w:rsid w:val="001C481B"/>
    <w:rsid w:val="001C55BC"/>
    <w:rsid w:val="001C603E"/>
    <w:rsid w:val="001C60FE"/>
    <w:rsid w:val="001C6543"/>
    <w:rsid w:val="001C6700"/>
    <w:rsid w:val="001C6F6F"/>
    <w:rsid w:val="001C74AC"/>
    <w:rsid w:val="001D0316"/>
    <w:rsid w:val="001D165D"/>
    <w:rsid w:val="001D265E"/>
    <w:rsid w:val="001D7614"/>
    <w:rsid w:val="001E11AB"/>
    <w:rsid w:val="001E1312"/>
    <w:rsid w:val="001F0C55"/>
    <w:rsid w:val="001F1F46"/>
    <w:rsid w:val="001F4471"/>
    <w:rsid w:val="001F48B3"/>
    <w:rsid w:val="001F4DD3"/>
    <w:rsid w:val="001F6401"/>
    <w:rsid w:val="00201CE9"/>
    <w:rsid w:val="00202ED5"/>
    <w:rsid w:val="002036D2"/>
    <w:rsid w:val="00204D3A"/>
    <w:rsid w:val="00205EFC"/>
    <w:rsid w:val="002061A9"/>
    <w:rsid w:val="00207D81"/>
    <w:rsid w:val="00211FD4"/>
    <w:rsid w:val="00213547"/>
    <w:rsid w:val="002136D2"/>
    <w:rsid w:val="00213F99"/>
    <w:rsid w:val="00214251"/>
    <w:rsid w:val="00214EE6"/>
    <w:rsid w:val="00215ACF"/>
    <w:rsid w:val="00216487"/>
    <w:rsid w:val="00220514"/>
    <w:rsid w:val="002211EC"/>
    <w:rsid w:val="002220B6"/>
    <w:rsid w:val="00224697"/>
    <w:rsid w:val="00225D57"/>
    <w:rsid w:val="00225D79"/>
    <w:rsid w:val="0022657D"/>
    <w:rsid w:val="00226C9E"/>
    <w:rsid w:val="00230AF9"/>
    <w:rsid w:val="00234116"/>
    <w:rsid w:val="0023517A"/>
    <w:rsid w:val="00235F95"/>
    <w:rsid w:val="00236ACD"/>
    <w:rsid w:val="00240E3D"/>
    <w:rsid w:val="00241CE2"/>
    <w:rsid w:val="00242BEF"/>
    <w:rsid w:val="00244A0C"/>
    <w:rsid w:val="0024560A"/>
    <w:rsid w:val="002510BE"/>
    <w:rsid w:val="00251ED9"/>
    <w:rsid w:val="00252B0D"/>
    <w:rsid w:val="002542FA"/>
    <w:rsid w:val="00255157"/>
    <w:rsid w:val="0026119F"/>
    <w:rsid w:val="002619C1"/>
    <w:rsid w:val="0026337D"/>
    <w:rsid w:val="00264C38"/>
    <w:rsid w:val="00265BED"/>
    <w:rsid w:val="00267D82"/>
    <w:rsid w:val="002706DA"/>
    <w:rsid w:val="00270D0B"/>
    <w:rsid w:val="00270E5B"/>
    <w:rsid w:val="00272041"/>
    <w:rsid w:val="00273710"/>
    <w:rsid w:val="00273953"/>
    <w:rsid w:val="00274BE0"/>
    <w:rsid w:val="00275164"/>
    <w:rsid w:val="002765FB"/>
    <w:rsid w:val="0027721A"/>
    <w:rsid w:val="00277EF3"/>
    <w:rsid w:val="002819AB"/>
    <w:rsid w:val="00284653"/>
    <w:rsid w:val="002863E4"/>
    <w:rsid w:val="00286B99"/>
    <w:rsid w:val="0029130F"/>
    <w:rsid w:val="00291C85"/>
    <w:rsid w:val="00291CE8"/>
    <w:rsid w:val="00291F74"/>
    <w:rsid w:val="00295F35"/>
    <w:rsid w:val="00296994"/>
    <w:rsid w:val="002A0F53"/>
    <w:rsid w:val="002A3E7F"/>
    <w:rsid w:val="002B0D7A"/>
    <w:rsid w:val="002B15B6"/>
    <w:rsid w:val="002B2176"/>
    <w:rsid w:val="002B2C66"/>
    <w:rsid w:val="002B3AED"/>
    <w:rsid w:val="002B481B"/>
    <w:rsid w:val="002B7BC7"/>
    <w:rsid w:val="002C18FF"/>
    <w:rsid w:val="002C2021"/>
    <w:rsid w:val="002C21C0"/>
    <w:rsid w:val="002C50C8"/>
    <w:rsid w:val="002C50F8"/>
    <w:rsid w:val="002C549C"/>
    <w:rsid w:val="002C5DA6"/>
    <w:rsid w:val="002C70A9"/>
    <w:rsid w:val="002C79FC"/>
    <w:rsid w:val="002D1E3F"/>
    <w:rsid w:val="002D2624"/>
    <w:rsid w:val="002D27F3"/>
    <w:rsid w:val="002D34F8"/>
    <w:rsid w:val="002D41C5"/>
    <w:rsid w:val="002D492E"/>
    <w:rsid w:val="002D750D"/>
    <w:rsid w:val="002D792D"/>
    <w:rsid w:val="002E1942"/>
    <w:rsid w:val="002E1A26"/>
    <w:rsid w:val="002E2C76"/>
    <w:rsid w:val="002E4118"/>
    <w:rsid w:val="002E4416"/>
    <w:rsid w:val="002E5F80"/>
    <w:rsid w:val="002E624F"/>
    <w:rsid w:val="002E64D9"/>
    <w:rsid w:val="002E7A77"/>
    <w:rsid w:val="002E7D1F"/>
    <w:rsid w:val="002F2728"/>
    <w:rsid w:val="002F35E7"/>
    <w:rsid w:val="002F40D2"/>
    <w:rsid w:val="002F47BB"/>
    <w:rsid w:val="002F6DF9"/>
    <w:rsid w:val="002F7442"/>
    <w:rsid w:val="00302A38"/>
    <w:rsid w:val="00302B08"/>
    <w:rsid w:val="00303376"/>
    <w:rsid w:val="003048A5"/>
    <w:rsid w:val="00306830"/>
    <w:rsid w:val="00306939"/>
    <w:rsid w:val="003069EB"/>
    <w:rsid w:val="00306C6D"/>
    <w:rsid w:val="00310706"/>
    <w:rsid w:val="0031199D"/>
    <w:rsid w:val="00314B26"/>
    <w:rsid w:val="00316C2A"/>
    <w:rsid w:val="003175D3"/>
    <w:rsid w:val="00320B7A"/>
    <w:rsid w:val="003212BC"/>
    <w:rsid w:val="0032267D"/>
    <w:rsid w:val="003229E6"/>
    <w:rsid w:val="003234E0"/>
    <w:rsid w:val="00325BF2"/>
    <w:rsid w:val="003301C2"/>
    <w:rsid w:val="0033411F"/>
    <w:rsid w:val="00334FF2"/>
    <w:rsid w:val="00337814"/>
    <w:rsid w:val="00340321"/>
    <w:rsid w:val="003452F8"/>
    <w:rsid w:val="003476FE"/>
    <w:rsid w:val="0034774C"/>
    <w:rsid w:val="00350859"/>
    <w:rsid w:val="003528CE"/>
    <w:rsid w:val="00353A14"/>
    <w:rsid w:val="00353AB1"/>
    <w:rsid w:val="00353E44"/>
    <w:rsid w:val="00353EA7"/>
    <w:rsid w:val="003564B8"/>
    <w:rsid w:val="00360573"/>
    <w:rsid w:val="00360A70"/>
    <w:rsid w:val="0036148D"/>
    <w:rsid w:val="00361773"/>
    <w:rsid w:val="00363387"/>
    <w:rsid w:val="00364395"/>
    <w:rsid w:val="00364B20"/>
    <w:rsid w:val="0036649B"/>
    <w:rsid w:val="00370FFF"/>
    <w:rsid w:val="00371AC9"/>
    <w:rsid w:val="003727FD"/>
    <w:rsid w:val="0037380B"/>
    <w:rsid w:val="003750A1"/>
    <w:rsid w:val="00376B7F"/>
    <w:rsid w:val="00381F23"/>
    <w:rsid w:val="00382A38"/>
    <w:rsid w:val="0038353A"/>
    <w:rsid w:val="003839CE"/>
    <w:rsid w:val="00385B5C"/>
    <w:rsid w:val="00386D2F"/>
    <w:rsid w:val="00387A00"/>
    <w:rsid w:val="00387C16"/>
    <w:rsid w:val="00387FFA"/>
    <w:rsid w:val="00391868"/>
    <w:rsid w:val="00392A40"/>
    <w:rsid w:val="00394454"/>
    <w:rsid w:val="003960C2"/>
    <w:rsid w:val="00397C40"/>
    <w:rsid w:val="003A15E5"/>
    <w:rsid w:val="003A59E7"/>
    <w:rsid w:val="003B10D0"/>
    <w:rsid w:val="003B2E03"/>
    <w:rsid w:val="003B3A21"/>
    <w:rsid w:val="003B3E10"/>
    <w:rsid w:val="003B3E46"/>
    <w:rsid w:val="003B3F69"/>
    <w:rsid w:val="003B7370"/>
    <w:rsid w:val="003C1DA3"/>
    <w:rsid w:val="003C1EF6"/>
    <w:rsid w:val="003C3213"/>
    <w:rsid w:val="003C385F"/>
    <w:rsid w:val="003C40BC"/>
    <w:rsid w:val="003C496C"/>
    <w:rsid w:val="003C5E77"/>
    <w:rsid w:val="003D1682"/>
    <w:rsid w:val="003D654A"/>
    <w:rsid w:val="003E2E1C"/>
    <w:rsid w:val="003E3087"/>
    <w:rsid w:val="003E77CF"/>
    <w:rsid w:val="003E7905"/>
    <w:rsid w:val="003F0B9B"/>
    <w:rsid w:val="003F2D44"/>
    <w:rsid w:val="003F4127"/>
    <w:rsid w:val="003F7983"/>
    <w:rsid w:val="003F7FFD"/>
    <w:rsid w:val="00400121"/>
    <w:rsid w:val="00401956"/>
    <w:rsid w:val="00401C82"/>
    <w:rsid w:val="00401F80"/>
    <w:rsid w:val="004027B0"/>
    <w:rsid w:val="004050E2"/>
    <w:rsid w:val="00405187"/>
    <w:rsid w:val="00406156"/>
    <w:rsid w:val="00406D3E"/>
    <w:rsid w:val="004071B0"/>
    <w:rsid w:val="004115FA"/>
    <w:rsid w:val="004125C6"/>
    <w:rsid w:val="0041272C"/>
    <w:rsid w:val="00414B9B"/>
    <w:rsid w:val="00415375"/>
    <w:rsid w:val="00415CCA"/>
    <w:rsid w:val="004173C5"/>
    <w:rsid w:val="00420455"/>
    <w:rsid w:val="004205B2"/>
    <w:rsid w:val="00423C98"/>
    <w:rsid w:val="00424C1C"/>
    <w:rsid w:val="00424FBE"/>
    <w:rsid w:val="00425C5B"/>
    <w:rsid w:val="00425F3F"/>
    <w:rsid w:val="0042685C"/>
    <w:rsid w:val="004279EF"/>
    <w:rsid w:val="00427F59"/>
    <w:rsid w:val="004319C2"/>
    <w:rsid w:val="00433D98"/>
    <w:rsid w:val="0043452A"/>
    <w:rsid w:val="004348D4"/>
    <w:rsid w:val="00434928"/>
    <w:rsid w:val="00437FE0"/>
    <w:rsid w:val="00440997"/>
    <w:rsid w:val="00441359"/>
    <w:rsid w:val="00441E1F"/>
    <w:rsid w:val="00444BE7"/>
    <w:rsid w:val="004458D8"/>
    <w:rsid w:val="00445ACA"/>
    <w:rsid w:val="00446510"/>
    <w:rsid w:val="0045039A"/>
    <w:rsid w:val="00453357"/>
    <w:rsid w:val="00453B8F"/>
    <w:rsid w:val="00453E98"/>
    <w:rsid w:val="0045405E"/>
    <w:rsid w:val="00454AFD"/>
    <w:rsid w:val="004560FC"/>
    <w:rsid w:val="00456141"/>
    <w:rsid w:val="00456349"/>
    <w:rsid w:val="00456E70"/>
    <w:rsid w:val="00457117"/>
    <w:rsid w:val="00457160"/>
    <w:rsid w:val="00457CC6"/>
    <w:rsid w:val="00461D6F"/>
    <w:rsid w:val="00463206"/>
    <w:rsid w:val="00465AAE"/>
    <w:rsid w:val="00466671"/>
    <w:rsid w:val="00466F38"/>
    <w:rsid w:val="0047004A"/>
    <w:rsid w:val="004707B7"/>
    <w:rsid w:val="00470F7E"/>
    <w:rsid w:val="00471093"/>
    <w:rsid w:val="00471C2D"/>
    <w:rsid w:val="00471C56"/>
    <w:rsid w:val="00472009"/>
    <w:rsid w:val="00472075"/>
    <w:rsid w:val="00472C26"/>
    <w:rsid w:val="00472F23"/>
    <w:rsid w:val="004732BE"/>
    <w:rsid w:val="00474229"/>
    <w:rsid w:val="0047532A"/>
    <w:rsid w:val="004771FB"/>
    <w:rsid w:val="0048147D"/>
    <w:rsid w:val="00485C50"/>
    <w:rsid w:val="004863D8"/>
    <w:rsid w:val="0049045F"/>
    <w:rsid w:val="00493371"/>
    <w:rsid w:val="00494902"/>
    <w:rsid w:val="0049512C"/>
    <w:rsid w:val="004968DF"/>
    <w:rsid w:val="00496AA3"/>
    <w:rsid w:val="00497678"/>
    <w:rsid w:val="00497713"/>
    <w:rsid w:val="004A0D79"/>
    <w:rsid w:val="004A2CEB"/>
    <w:rsid w:val="004A4DDA"/>
    <w:rsid w:val="004A6111"/>
    <w:rsid w:val="004B0A82"/>
    <w:rsid w:val="004B3026"/>
    <w:rsid w:val="004B644A"/>
    <w:rsid w:val="004C1A8A"/>
    <w:rsid w:val="004C2638"/>
    <w:rsid w:val="004C4866"/>
    <w:rsid w:val="004D04D1"/>
    <w:rsid w:val="004D1404"/>
    <w:rsid w:val="004D1EA6"/>
    <w:rsid w:val="004D2E41"/>
    <w:rsid w:val="004D6195"/>
    <w:rsid w:val="004D715E"/>
    <w:rsid w:val="004E1895"/>
    <w:rsid w:val="004E1C3B"/>
    <w:rsid w:val="004E2497"/>
    <w:rsid w:val="004E27C0"/>
    <w:rsid w:val="004E37E9"/>
    <w:rsid w:val="004E3927"/>
    <w:rsid w:val="004E3B1D"/>
    <w:rsid w:val="004E3F1B"/>
    <w:rsid w:val="004E4276"/>
    <w:rsid w:val="004E4597"/>
    <w:rsid w:val="004E5207"/>
    <w:rsid w:val="004E56B0"/>
    <w:rsid w:val="004E63ED"/>
    <w:rsid w:val="004E645E"/>
    <w:rsid w:val="004E6D67"/>
    <w:rsid w:val="004E6DEB"/>
    <w:rsid w:val="004E7A77"/>
    <w:rsid w:val="004F0809"/>
    <w:rsid w:val="004F09CA"/>
    <w:rsid w:val="004F0C7A"/>
    <w:rsid w:val="004F2B4C"/>
    <w:rsid w:val="004F3C96"/>
    <w:rsid w:val="004F575A"/>
    <w:rsid w:val="004F6513"/>
    <w:rsid w:val="004F6836"/>
    <w:rsid w:val="004F6D24"/>
    <w:rsid w:val="004F7FD0"/>
    <w:rsid w:val="00505FA8"/>
    <w:rsid w:val="00506A72"/>
    <w:rsid w:val="00506CAC"/>
    <w:rsid w:val="0051037A"/>
    <w:rsid w:val="0051202A"/>
    <w:rsid w:val="00512B7D"/>
    <w:rsid w:val="005141EF"/>
    <w:rsid w:val="00516195"/>
    <w:rsid w:val="00516E61"/>
    <w:rsid w:val="00516F45"/>
    <w:rsid w:val="00517203"/>
    <w:rsid w:val="005176AE"/>
    <w:rsid w:val="005211A6"/>
    <w:rsid w:val="00521B8A"/>
    <w:rsid w:val="00524C0F"/>
    <w:rsid w:val="00526173"/>
    <w:rsid w:val="00527555"/>
    <w:rsid w:val="00527EB2"/>
    <w:rsid w:val="00531572"/>
    <w:rsid w:val="005331B2"/>
    <w:rsid w:val="00534FB6"/>
    <w:rsid w:val="00536B38"/>
    <w:rsid w:val="00537B9B"/>
    <w:rsid w:val="00540912"/>
    <w:rsid w:val="0054241C"/>
    <w:rsid w:val="00542EF7"/>
    <w:rsid w:val="00545C7E"/>
    <w:rsid w:val="00550BD2"/>
    <w:rsid w:val="00550CA3"/>
    <w:rsid w:val="00552C53"/>
    <w:rsid w:val="00553D0A"/>
    <w:rsid w:val="00555D0D"/>
    <w:rsid w:val="00556A7F"/>
    <w:rsid w:val="00556E94"/>
    <w:rsid w:val="00556F9C"/>
    <w:rsid w:val="00557A86"/>
    <w:rsid w:val="00560C2E"/>
    <w:rsid w:val="00563367"/>
    <w:rsid w:val="00564473"/>
    <w:rsid w:val="005647A3"/>
    <w:rsid w:val="00565D4C"/>
    <w:rsid w:val="00565F65"/>
    <w:rsid w:val="0056667E"/>
    <w:rsid w:val="00567B1B"/>
    <w:rsid w:val="005702E1"/>
    <w:rsid w:val="00570FAF"/>
    <w:rsid w:val="00571332"/>
    <w:rsid w:val="00571955"/>
    <w:rsid w:val="00574E44"/>
    <w:rsid w:val="00575E21"/>
    <w:rsid w:val="00577696"/>
    <w:rsid w:val="0058121C"/>
    <w:rsid w:val="005866D0"/>
    <w:rsid w:val="005874CF"/>
    <w:rsid w:val="005914FF"/>
    <w:rsid w:val="005920CE"/>
    <w:rsid w:val="005921F8"/>
    <w:rsid w:val="00593B67"/>
    <w:rsid w:val="00594C7F"/>
    <w:rsid w:val="00596D52"/>
    <w:rsid w:val="005B0A68"/>
    <w:rsid w:val="005B13A3"/>
    <w:rsid w:val="005B1883"/>
    <w:rsid w:val="005B3C85"/>
    <w:rsid w:val="005B4F92"/>
    <w:rsid w:val="005B5B97"/>
    <w:rsid w:val="005B6EE0"/>
    <w:rsid w:val="005B78A1"/>
    <w:rsid w:val="005C1EF6"/>
    <w:rsid w:val="005D02DB"/>
    <w:rsid w:val="005D0537"/>
    <w:rsid w:val="005D13C4"/>
    <w:rsid w:val="005D14CB"/>
    <w:rsid w:val="005D24CA"/>
    <w:rsid w:val="005D2CE2"/>
    <w:rsid w:val="005D483F"/>
    <w:rsid w:val="005D48E7"/>
    <w:rsid w:val="005D4DAA"/>
    <w:rsid w:val="005D5D51"/>
    <w:rsid w:val="005D606F"/>
    <w:rsid w:val="005E0178"/>
    <w:rsid w:val="005E12B6"/>
    <w:rsid w:val="005E18C4"/>
    <w:rsid w:val="005E1948"/>
    <w:rsid w:val="005E2617"/>
    <w:rsid w:val="005E2659"/>
    <w:rsid w:val="005E381B"/>
    <w:rsid w:val="005E6601"/>
    <w:rsid w:val="005F0799"/>
    <w:rsid w:val="005F1425"/>
    <w:rsid w:val="005F3556"/>
    <w:rsid w:val="005F3C9A"/>
    <w:rsid w:val="005F44F8"/>
    <w:rsid w:val="005F6DEA"/>
    <w:rsid w:val="005F79CE"/>
    <w:rsid w:val="00601AE2"/>
    <w:rsid w:val="00602BD7"/>
    <w:rsid w:val="00606BCD"/>
    <w:rsid w:val="00606F9B"/>
    <w:rsid w:val="00611E7F"/>
    <w:rsid w:val="00612C16"/>
    <w:rsid w:val="006137B9"/>
    <w:rsid w:val="00614730"/>
    <w:rsid w:val="00614DC9"/>
    <w:rsid w:val="0061742B"/>
    <w:rsid w:val="006240A6"/>
    <w:rsid w:val="0062464A"/>
    <w:rsid w:val="00624D5F"/>
    <w:rsid w:val="0062795F"/>
    <w:rsid w:val="006303AA"/>
    <w:rsid w:val="0063271E"/>
    <w:rsid w:val="00632884"/>
    <w:rsid w:val="0063341A"/>
    <w:rsid w:val="006347BC"/>
    <w:rsid w:val="00636F43"/>
    <w:rsid w:val="0064057C"/>
    <w:rsid w:val="006406A4"/>
    <w:rsid w:val="00641358"/>
    <w:rsid w:val="0064409A"/>
    <w:rsid w:val="00645E91"/>
    <w:rsid w:val="00646C5D"/>
    <w:rsid w:val="006516A7"/>
    <w:rsid w:val="00652632"/>
    <w:rsid w:val="00652646"/>
    <w:rsid w:val="00653A55"/>
    <w:rsid w:val="00653B86"/>
    <w:rsid w:val="0065483C"/>
    <w:rsid w:val="006552F2"/>
    <w:rsid w:val="00657FB8"/>
    <w:rsid w:val="00660107"/>
    <w:rsid w:val="00661403"/>
    <w:rsid w:val="0066500A"/>
    <w:rsid w:val="00666E5F"/>
    <w:rsid w:val="00673794"/>
    <w:rsid w:val="00674146"/>
    <w:rsid w:val="006759D0"/>
    <w:rsid w:val="00676932"/>
    <w:rsid w:val="00676A9A"/>
    <w:rsid w:val="006815C7"/>
    <w:rsid w:val="006819B7"/>
    <w:rsid w:val="00681E99"/>
    <w:rsid w:val="006825B0"/>
    <w:rsid w:val="006839EC"/>
    <w:rsid w:val="00684712"/>
    <w:rsid w:val="006861A8"/>
    <w:rsid w:val="00687D17"/>
    <w:rsid w:val="00687DE9"/>
    <w:rsid w:val="006904B1"/>
    <w:rsid w:val="006939E3"/>
    <w:rsid w:val="00694438"/>
    <w:rsid w:val="00694C66"/>
    <w:rsid w:val="00694EF5"/>
    <w:rsid w:val="00695AD2"/>
    <w:rsid w:val="00695DE5"/>
    <w:rsid w:val="00696E7B"/>
    <w:rsid w:val="006A05AC"/>
    <w:rsid w:val="006A0F40"/>
    <w:rsid w:val="006A18FE"/>
    <w:rsid w:val="006A2DBC"/>
    <w:rsid w:val="006A31ED"/>
    <w:rsid w:val="006A47EA"/>
    <w:rsid w:val="006A4D32"/>
    <w:rsid w:val="006A7943"/>
    <w:rsid w:val="006A7C9A"/>
    <w:rsid w:val="006B04F0"/>
    <w:rsid w:val="006B300D"/>
    <w:rsid w:val="006B41BA"/>
    <w:rsid w:val="006B5074"/>
    <w:rsid w:val="006B5379"/>
    <w:rsid w:val="006B5E66"/>
    <w:rsid w:val="006C034F"/>
    <w:rsid w:val="006C3D39"/>
    <w:rsid w:val="006C4176"/>
    <w:rsid w:val="006C4298"/>
    <w:rsid w:val="006C5430"/>
    <w:rsid w:val="006C5A5F"/>
    <w:rsid w:val="006C79A1"/>
    <w:rsid w:val="006D02E0"/>
    <w:rsid w:val="006D0E40"/>
    <w:rsid w:val="006D4847"/>
    <w:rsid w:val="006E04E4"/>
    <w:rsid w:val="006E0C68"/>
    <w:rsid w:val="006E0C6B"/>
    <w:rsid w:val="006E1683"/>
    <w:rsid w:val="006E42FF"/>
    <w:rsid w:val="006E721D"/>
    <w:rsid w:val="006F08B9"/>
    <w:rsid w:val="006F0F42"/>
    <w:rsid w:val="006F11FE"/>
    <w:rsid w:val="006F14AB"/>
    <w:rsid w:val="006F1538"/>
    <w:rsid w:val="006F182F"/>
    <w:rsid w:val="006F238B"/>
    <w:rsid w:val="006F3116"/>
    <w:rsid w:val="006F3B82"/>
    <w:rsid w:val="006F4ABE"/>
    <w:rsid w:val="006F6FBF"/>
    <w:rsid w:val="007004CE"/>
    <w:rsid w:val="00700D55"/>
    <w:rsid w:val="007017E6"/>
    <w:rsid w:val="007043F1"/>
    <w:rsid w:val="007046C8"/>
    <w:rsid w:val="0070698F"/>
    <w:rsid w:val="0070785E"/>
    <w:rsid w:val="00707BE6"/>
    <w:rsid w:val="00707C78"/>
    <w:rsid w:val="007121B3"/>
    <w:rsid w:val="007133C0"/>
    <w:rsid w:val="00714F1D"/>
    <w:rsid w:val="007178B8"/>
    <w:rsid w:val="00717E5A"/>
    <w:rsid w:val="007200FE"/>
    <w:rsid w:val="00720360"/>
    <w:rsid w:val="00722004"/>
    <w:rsid w:val="0072256D"/>
    <w:rsid w:val="00723B53"/>
    <w:rsid w:val="007241E4"/>
    <w:rsid w:val="007305A8"/>
    <w:rsid w:val="0073079D"/>
    <w:rsid w:val="00730DE0"/>
    <w:rsid w:val="00731DBE"/>
    <w:rsid w:val="00731F55"/>
    <w:rsid w:val="007325D7"/>
    <w:rsid w:val="007332E7"/>
    <w:rsid w:val="0073360F"/>
    <w:rsid w:val="00733FEE"/>
    <w:rsid w:val="00735C7E"/>
    <w:rsid w:val="00736BF6"/>
    <w:rsid w:val="0074057F"/>
    <w:rsid w:val="00743229"/>
    <w:rsid w:val="007444F1"/>
    <w:rsid w:val="007451CB"/>
    <w:rsid w:val="00747DEC"/>
    <w:rsid w:val="00750D73"/>
    <w:rsid w:val="00753BC9"/>
    <w:rsid w:val="00755110"/>
    <w:rsid w:val="00755272"/>
    <w:rsid w:val="00755E0F"/>
    <w:rsid w:val="007575E2"/>
    <w:rsid w:val="00761AC3"/>
    <w:rsid w:val="00761DEC"/>
    <w:rsid w:val="00762810"/>
    <w:rsid w:val="007641C9"/>
    <w:rsid w:val="007657D4"/>
    <w:rsid w:val="00767158"/>
    <w:rsid w:val="00767D6C"/>
    <w:rsid w:val="00771AE1"/>
    <w:rsid w:val="00775A94"/>
    <w:rsid w:val="007762C9"/>
    <w:rsid w:val="00780525"/>
    <w:rsid w:val="007808D1"/>
    <w:rsid w:val="00780976"/>
    <w:rsid w:val="00781438"/>
    <w:rsid w:val="00781A38"/>
    <w:rsid w:val="00781D88"/>
    <w:rsid w:val="0078312C"/>
    <w:rsid w:val="00783721"/>
    <w:rsid w:val="007844E2"/>
    <w:rsid w:val="00785DB3"/>
    <w:rsid w:val="007871CC"/>
    <w:rsid w:val="00790D57"/>
    <w:rsid w:val="00793004"/>
    <w:rsid w:val="007932D6"/>
    <w:rsid w:val="00795F98"/>
    <w:rsid w:val="007961FC"/>
    <w:rsid w:val="007979AB"/>
    <w:rsid w:val="00797AAF"/>
    <w:rsid w:val="007A0191"/>
    <w:rsid w:val="007A02C8"/>
    <w:rsid w:val="007A27C3"/>
    <w:rsid w:val="007A2A88"/>
    <w:rsid w:val="007A3D91"/>
    <w:rsid w:val="007A5967"/>
    <w:rsid w:val="007A5B34"/>
    <w:rsid w:val="007A5DED"/>
    <w:rsid w:val="007A796A"/>
    <w:rsid w:val="007A7C58"/>
    <w:rsid w:val="007A7F1C"/>
    <w:rsid w:val="007B33EF"/>
    <w:rsid w:val="007B4518"/>
    <w:rsid w:val="007B5600"/>
    <w:rsid w:val="007B580F"/>
    <w:rsid w:val="007B693A"/>
    <w:rsid w:val="007B7327"/>
    <w:rsid w:val="007C1CE5"/>
    <w:rsid w:val="007C3588"/>
    <w:rsid w:val="007C38B7"/>
    <w:rsid w:val="007C3B28"/>
    <w:rsid w:val="007C4CDD"/>
    <w:rsid w:val="007C6792"/>
    <w:rsid w:val="007C6A40"/>
    <w:rsid w:val="007C6D7A"/>
    <w:rsid w:val="007D01DE"/>
    <w:rsid w:val="007D1539"/>
    <w:rsid w:val="007D294C"/>
    <w:rsid w:val="007D34BD"/>
    <w:rsid w:val="007D3533"/>
    <w:rsid w:val="007D4009"/>
    <w:rsid w:val="007D4D21"/>
    <w:rsid w:val="007D5B5E"/>
    <w:rsid w:val="007D5D9E"/>
    <w:rsid w:val="007D604D"/>
    <w:rsid w:val="007D6254"/>
    <w:rsid w:val="007D7178"/>
    <w:rsid w:val="007D77C4"/>
    <w:rsid w:val="007E321A"/>
    <w:rsid w:val="007E6A1D"/>
    <w:rsid w:val="007F015F"/>
    <w:rsid w:val="007F353B"/>
    <w:rsid w:val="007F3661"/>
    <w:rsid w:val="007F3CA6"/>
    <w:rsid w:val="007F453F"/>
    <w:rsid w:val="007F53AE"/>
    <w:rsid w:val="007F7A9F"/>
    <w:rsid w:val="007F7D6D"/>
    <w:rsid w:val="00802684"/>
    <w:rsid w:val="008033F5"/>
    <w:rsid w:val="0080344C"/>
    <w:rsid w:val="0080416F"/>
    <w:rsid w:val="0080624B"/>
    <w:rsid w:val="008063AA"/>
    <w:rsid w:val="00806414"/>
    <w:rsid w:val="00806A19"/>
    <w:rsid w:val="00810DE7"/>
    <w:rsid w:val="00813564"/>
    <w:rsid w:val="008151E9"/>
    <w:rsid w:val="00821545"/>
    <w:rsid w:val="00821D8B"/>
    <w:rsid w:val="00821F78"/>
    <w:rsid w:val="00822E2D"/>
    <w:rsid w:val="0082356C"/>
    <w:rsid w:val="00824846"/>
    <w:rsid w:val="00824AB2"/>
    <w:rsid w:val="00826932"/>
    <w:rsid w:val="0082695C"/>
    <w:rsid w:val="008271DF"/>
    <w:rsid w:val="00827663"/>
    <w:rsid w:val="00827A65"/>
    <w:rsid w:val="00830725"/>
    <w:rsid w:val="00830B3E"/>
    <w:rsid w:val="00831785"/>
    <w:rsid w:val="00833884"/>
    <w:rsid w:val="00834BD8"/>
    <w:rsid w:val="008350BC"/>
    <w:rsid w:val="008359B0"/>
    <w:rsid w:val="0083618D"/>
    <w:rsid w:val="0083665D"/>
    <w:rsid w:val="00840970"/>
    <w:rsid w:val="00840D81"/>
    <w:rsid w:val="008445D6"/>
    <w:rsid w:val="0084776C"/>
    <w:rsid w:val="00847E60"/>
    <w:rsid w:val="008505D4"/>
    <w:rsid w:val="0085292F"/>
    <w:rsid w:val="00855C31"/>
    <w:rsid w:val="00855EF0"/>
    <w:rsid w:val="008560B9"/>
    <w:rsid w:val="00857392"/>
    <w:rsid w:val="00857742"/>
    <w:rsid w:val="00857C83"/>
    <w:rsid w:val="00864669"/>
    <w:rsid w:val="00865895"/>
    <w:rsid w:val="00866F26"/>
    <w:rsid w:val="00872ACD"/>
    <w:rsid w:val="008751AE"/>
    <w:rsid w:val="008751AF"/>
    <w:rsid w:val="0087531B"/>
    <w:rsid w:val="008766FF"/>
    <w:rsid w:val="00880753"/>
    <w:rsid w:val="00880A68"/>
    <w:rsid w:val="00881215"/>
    <w:rsid w:val="00882F20"/>
    <w:rsid w:val="0088544B"/>
    <w:rsid w:val="008854C6"/>
    <w:rsid w:val="00887039"/>
    <w:rsid w:val="00887768"/>
    <w:rsid w:val="00887E2C"/>
    <w:rsid w:val="008908C5"/>
    <w:rsid w:val="008915EC"/>
    <w:rsid w:val="008924D0"/>
    <w:rsid w:val="0089250D"/>
    <w:rsid w:val="00893E9C"/>
    <w:rsid w:val="0089581B"/>
    <w:rsid w:val="00895A2A"/>
    <w:rsid w:val="00897C02"/>
    <w:rsid w:val="008A3DE8"/>
    <w:rsid w:val="008A3E97"/>
    <w:rsid w:val="008A48EE"/>
    <w:rsid w:val="008A78BB"/>
    <w:rsid w:val="008B16DB"/>
    <w:rsid w:val="008B1E2C"/>
    <w:rsid w:val="008B311F"/>
    <w:rsid w:val="008B3872"/>
    <w:rsid w:val="008B4BEE"/>
    <w:rsid w:val="008B59D4"/>
    <w:rsid w:val="008B60A7"/>
    <w:rsid w:val="008C2634"/>
    <w:rsid w:val="008C31C3"/>
    <w:rsid w:val="008C3765"/>
    <w:rsid w:val="008C46BF"/>
    <w:rsid w:val="008C53E5"/>
    <w:rsid w:val="008C5FB6"/>
    <w:rsid w:val="008C6B2A"/>
    <w:rsid w:val="008D0783"/>
    <w:rsid w:val="008D11FF"/>
    <w:rsid w:val="008D2188"/>
    <w:rsid w:val="008D2575"/>
    <w:rsid w:val="008D4684"/>
    <w:rsid w:val="008D5003"/>
    <w:rsid w:val="008D5BB0"/>
    <w:rsid w:val="008D6315"/>
    <w:rsid w:val="008D73E7"/>
    <w:rsid w:val="008D7DF1"/>
    <w:rsid w:val="008E1351"/>
    <w:rsid w:val="008E1E92"/>
    <w:rsid w:val="008E2E04"/>
    <w:rsid w:val="008E4049"/>
    <w:rsid w:val="008E572E"/>
    <w:rsid w:val="008E6211"/>
    <w:rsid w:val="008E65AF"/>
    <w:rsid w:val="008E66E2"/>
    <w:rsid w:val="008E6F05"/>
    <w:rsid w:val="008E76A9"/>
    <w:rsid w:val="008E7B4B"/>
    <w:rsid w:val="008E7BA4"/>
    <w:rsid w:val="008F2EE5"/>
    <w:rsid w:val="008F5EE3"/>
    <w:rsid w:val="008F724A"/>
    <w:rsid w:val="008F79DB"/>
    <w:rsid w:val="00900597"/>
    <w:rsid w:val="00905BF3"/>
    <w:rsid w:val="00907490"/>
    <w:rsid w:val="00907868"/>
    <w:rsid w:val="00912699"/>
    <w:rsid w:val="00915597"/>
    <w:rsid w:val="00915FAC"/>
    <w:rsid w:val="00917B6B"/>
    <w:rsid w:val="00920110"/>
    <w:rsid w:val="00921701"/>
    <w:rsid w:val="00921FA3"/>
    <w:rsid w:val="00926383"/>
    <w:rsid w:val="009263A7"/>
    <w:rsid w:val="00926FC1"/>
    <w:rsid w:val="009302CE"/>
    <w:rsid w:val="00930F9B"/>
    <w:rsid w:val="009312B9"/>
    <w:rsid w:val="0093342D"/>
    <w:rsid w:val="0093392C"/>
    <w:rsid w:val="00935671"/>
    <w:rsid w:val="00936977"/>
    <w:rsid w:val="009426EA"/>
    <w:rsid w:val="00943C88"/>
    <w:rsid w:val="00944FF2"/>
    <w:rsid w:val="00945D48"/>
    <w:rsid w:val="00946C3B"/>
    <w:rsid w:val="00947AAA"/>
    <w:rsid w:val="00947C57"/>
    <w:rsid w:val="00952D19"/>
    <w:rsid w:val="009538B8"/>
    <w:rsid w:val="00954A0B"/>
    <w:rsid w:val="00954BFA"/>
    <w:rsid w:val="009567D9"/>
    <w:rsid w:val="00962956"/>
    <w:rsid w:val="00962EDD"/>
    <w:rsid w:val="00965977"/>
    <w:rsid w:val="00965CFA"/>
    <w:rsid w:val="00966C19"/>
    <w:rsid w:val="00970CE0"/>
    <w:rsid w:val="00970F9F"/>
    <w:rsid w:val="009724D6"/>
    <w:rsid w:val="009738CE"/>
    <w:rsid w:val="00974722"/>
    <w:rsid w:val="00975DD3"/>
    <w:rsid w:val="00976B0A"/>
    <w:rsid w:val="00981C84"/>
    <w:rsid w:val="0098492E"/>
    <w:rsid w:val="0098711E"/>
    <w:rsid w:val="00987E42"/>
    <w:rsid w:val="00990125"/>
    <w:rsid w:val="009908E7"/>
    <w:rsid w:val="009913C7"/>
    <w:rsid w:val="0099143C"/>
    <w:rsid w:val="00991AE4"/>
    <w:rsid w:val="009925CD"/>
    <w:rsid w:val="009944B6"/>
    <w:rsid w:val="00996EA2"/>
    <w:rsid w:val="009971D7"/>
    <w:rsid w:val="009A025F"/>
    <w:rsid w:val="009A2151"/>
    <w:rsid w:val="009A43FA"/>
    <w:rsid w:val="009A4C12"/>
    <w:rsid w:val="009B2B58"/>
    <w:rsid w:val="009B49A5"/>
    <w:rsid w:val="009B4BE7"/>
    <w:rsid w:val="009B5157"/>
    <w:rsid w:val="009B60F5"/>
    <w:rsid w:val="009B68EF"/>
    <w:rsid w:val="009C0A58"/>
    <w:rsid w:val="009C1383"/>
    <w:rsid w:val="009C3E52"/>
    <w:rsid w:val="009C4B55"/>
    <w:rsid w:val="009C7CF0"/>
    <w:rsid w:val="009D2A27"/>
    <w:rsid w:val="009D5A59"/>
    <w:rsid w:val="009E09B2"/>
    <w:rsid w:val="009E246F"/>
    <w:rsid w:val="009E2E97"/>
    <w:rsid w:val="009E3267"/>
    <w:rsid w:val="009E486E"/>
    <w:rsid w:val="009E5159"/>
    <w:rsid w:val="009E6FF3"/>
    <w:rsid w:val="009E7F5B"/>
    <w:rsid w:val="009F2818"/>
    <w:rsid w:val="009F2A4D"/>
    <w:rsid w:val="009F3BF4"/>
    <w:rsid w:val="009F41E9"/>
    <w:rsid w:val="009F4321"/>
    <w:rsid w:val="009F5DA0"/>
    <w:rsid w:val="009F64C2"/>
    <w:rsid w:val="009F6F1A"/>
    <w:rsid w:val="009F7640"/>
    <w:rsid w:val="009F7EDF"/>
    <w:rsid w:val="00A00A3E"/>
    <w:rsid w:val="00A00B7B"/>
    <w:rsid w:val="00A00F97"/>
    <w:rsid w:val="00A046AC"/>
    <w:rsid w:val="00A050D1"/>
    <w:rsid w:val="00A06EA9"/>
    <w:rsid w:val="00A12146"/>
    <w:rsid w:val="00A1258E"/>
    <w:rsid w:val="00A12FB1"/>
    <w:rsid w:val="00A13B45"/>
    <w:rsid w:val="00A163A0"/>
    <w:rsid w:val="00A17A4F"/>
    <w:rsid w:val="00A2152A"/>
    <w:rsid w:val="00A216F6"/>
    <w:rsid w:val="00A225AE"/>
    <w:rsid w:val="00A22C65"/>
    <w:rsid w:val="00A22CA3"/>
    <w:rsid w:val="00A2420C"/>
    <w:rsid w:val="00A25908"/>
    <w:rsid w:val="00A261F4"/>
    <w:rsid w:val="00A265D4"/>
    <w:rsid w:val="00A26AE3"/>
    <w:rsid w:val="00A26C47"/>
    <w:rsid w:val="00A315EE"/>
    <w:rsid w:val="00A316FD"/>
    <w:rsid w:val="00A333A5"/>
    <w:rsid w:val="00A370DE"/>
    <w:rsid w:val="00A37EC0"/>
    <w:rsid w:val="00A403D6"/>
    <w:rsid w:val="00A4049D"/>
    <w:rsid w:val="00A40A12"/>
    <w:rsid w:val="00A40A6F"/>
    <w:rsid w:val="00A40F96"/>
    <w:rsid w:val="00A4103B"/>
    <w:rsid w:val="00A41997"/>
    <w:rsid w:val="00A41A3C"/>
    <w:rsid w:val="00A41EE2"/>
    <w:rsid w:val="00A4328B"/>
    <w:rsid w:val="00A44CC1"/>
    <w:rsid w:val="00A51629"/>
    <w:rsid w:val="00A51C3C"/>
    <w:rsid w:val="00A51CDC"/>
    <w:rsid w:val="00A5382B"/>
    <w:rsid w:val="00A5429C"/>
    <w:rsid w:val="00A57650"/>
    <w:rsid w:val="00A61711"/>
    <w:rsid w:val="00A646AB"/>
    <w:rsid w:val="00A65701"/>
    <w:rsid w:val="00A66B98"/>
    <w:rsid w:val="00A67234"/>
    <w:rsid w:val="00A70217"/>
    <w:rsid w:val="00A730B6"/>
    <w:rsid w:val="00A750C3"/>
    <w:rsid w:val="00A7599C"/>
    <w:rsid w:val="00A75B6C"/>
    <w:rsid w:val="00A762A6"/>
    <w:rsid w:val="00A772F5"/>
    <w:rsid w:val="00A806A6"/>
    <w:rsid w:val="00A80C8D"/>
    <w:rsid w:val="00A813B9"/>
    <w:rsid w:val="00A85338"/>
    <w:rsid w:val="00A85637"/>
    <w:rsid w:val="00A85DA0"/>
    <w:rsid w:val="00A87060"/>
    <w:rsid w:val="00A878CF"/>
    <w:rsid w:val="00A90F56"/>
    <w:rsid w:val="00A92479"/>
    <w:rsid w:val="00A92A71"/>
    <w:rsid w:val="00A92CDB"/>
    <w:rsid w:val="00A940ED"/>
    <w:rsid w:val="00A94F52"/>
    <w:rsid w:val="00A9542B"/>
    <w:rsid w:val="00A969BC"/>
    <w:rsid w:val="00A9742C"/>
    <w:rsid w:val="00A97EED"/>
    <w:rsid w:val="00AA03B0"/>
    <w:rsid w:val="00AA1593"/>
    <w:rsid w:val="00AA1984"/>
    <w:rsid w:val="00AA23DD"/>
    <w:rsid w:val="00AA2FE8"/>
    <w:rsid w:val="00AA3184"/>
    <w:rsid w:val="00AA443D"/>
    <w:rsid w:val="00AA57C3"/>
    <w:rsid w:val="00AA5E98"/>
    <w:rsid w:val="00AB09AD"/>
    <w:rsid w:val="00AB125F"/>
    <w:rsid w:val="00AB19B5"/>
    <w:rsid w:val="00AB26D9"/>
    <w:rsid w:val="00AB2D80"/>
    <w:rsid w:val="00AB36E9"/>
    <w:rsid w:val="00AB4E6D"/>
    <w:rsid w:val="00AB4FF2"/>
    <w:rsid w:val="00AB53CA"/>
    <w:rsid w:val="00AB7EF8"/>
    <w:rsid w:val="00AC0CEC"/>
    <w:rsid w:val="00AC195C"/>
    <w:rsid w:val="00AC3AF5"/>
    <w:rsid w:val="00AC5595"/>
    <w:rsid w:val="00AC5CBD"/>
    <w:rsid w:val="00AC6192"/>
    <w:rsid w:val="00AC63E1"/>
    <w:rsid w:val="00AC68D1"/>
    <w:rsid w:val="00AC7254"/>
    <w:rsid w:val="00AC72CB"/>
    <w:rsid w:val="00AC75E7"/>
    <w:rsid w:val="00AC7F02"/>
    <w:rsid w:val="00AD14D5"/>
    <w:rsid w:val="00AD280B"/>
    <w:rsid w:val="00AD3FCB"/>
    <w:rsid w:val="00AD6D29"/>
    <w:rsid w:val="00AD7E57"/>
    <w:rsid w:val="00AE08F4"/>
    <w:rsid w:val="00AE1797"/>
    <w:rsid w:val="00AE2955"/>
    <w:rsid w:val="00AE2DF2"/>
    <w:rsid w:val="00AE52CB"/>
    <w:rsid w:val="00AF04BE"/>
    <w:rsid w:val="00AF1A76"/>
    <w:rsid w:val="00AF1E1B"/>
    <w:rsid w:val="00AF4D3C"/>
    <w:rsid w:val="00AF5BB8"/>
    <w:rsid w:val="00AF6E7D"/>
    <w:rsid w:val="00AF7C07"/>
    <w:rsid w:val="00B006EF"/>
    <w:rsid w:val="00B01D13"/>
    <w:rsid w:val="00B0201A"/>
    <w:rsid w:val="00B02C75"/>
    <w:rsid w:val="00B03758"/>
    <w:rsid w:val="00B03C64"/>
    <w:rsid w:val="00B04FE9"/>
    <w:rsid w:val="00B11106"/>
    <w:rsid w:val="00B16093"/>
    <w:rsid w:val="00B17133"/>
    <w:rsid w:val="00B200F5"/>
    <w:rsid w:val="00B20703"/>
    <w:rsid w:val="00B22394"/>
    <w:rsid w:val="00B22E8C"/>
    <w:rsid w:val="00B2306B"/>
    <w:rsid w:val="00B25764"/>
    <w:rsid w:val="00B25F33"/>
    <w:rsid w:val="00B26496"/>
    <w:rsid w:val="00B30BEC"/>
    <w:rsid w:val="00B30C3D"/>
    <w:rsid w:val="00B31419"/>
    <w:rsid w:val="00B32605"/>
    <w:rsid w:val="00B34807"/>
    <w:rsid w:val="00B352D3"/>
    <w:rsid w:val="00B36127"/>
    <w:rsid w:val="00B37203"/>
    <w:rsid w:val="00B432CD"/>
    <w:rsid w:val="00B45042"/>
    <w:rsid w:val="00B465C8"/>
    <w:rsid w:val="00B473CF"/>
    <w:rsid w:val="00B474B8"/>
    <w:rsid w:val="00B5058B"/>
    <w:rsid w:val="00B51B1D"/>
    <w:rsid w:val="00B52600"/>
    <w:rsid w:val="00B533EF"/>
    <w:rsid w:val="00B53E49"/>
    <w:rsid w:val="00B56AB4"/>
    <w:rsid w:val="00B62FD6"/>
    <w:rsid w:val="00B651E6"/>
    <w:rsid w:val="00B65B70"/>
    <w:rsid w:val="00B73605"/>
    <w:rsid w:val="00B769B0"/>
    <w:rsid w:val="00B77F9F"/>
    <w:rsid w:val="00B8418E"/>
    <w:rsid w:val="00B915F0"/>
    <w:rsid w:val="00B91914"/>
    <w:rsid w:val="00B9274E"/>
    <w:rsid w:val="00B93896"/>
    <w:rsid w:val="00B94C2D"/>
    <w:rsid w:val="00B95A72"/>
    <w:rsid w:val="00B95EAA"/>
    <w:rsid w:val="00B97459"/>
    <w:rsid w:val="00BA3786"/>
    <w:rsid w:val="00BA3AB7"/>
    <w:rsid w:val="00BA448A"/>
    <w:rsid w:val="00BA4752"/>
    <w:rsid w:val="00BA48F7"/>
    <w:rsid w:val="00BA4E37"/>
    <w:rsid w:val="00BB08E0"/>
    <w:rsid w:val="00BB10B3"/>
    <w:rsid w:val="00BB4443"/>
    <w:rsid w:val="00BB7A57"/>
    <w:rsid w:val="00BC0DFB"/>
    <w:rsid w:val="00BC2748"/>
    <w:rsid w:val="00BC5732"/>
    <w:rsid w:val="00BC6200"/>
    <w:rsid w:val="00BC64E1"/>
    <w:rsid w:val="00BD2178"/>
    <w:rsid w:val="00BD391B"/>
    <w:rsid w:val="00BD4999"/>
    <w:rsid w:val="00BD66F4"/>
    <w:rsid w:val="00BD7E0F"/>
    <w:rsid w:val="00BD7EED"/>
    <w:rsid w:val="00BE04D3"/>
    <w:rsid w:val="00BE0EB3"/>
    <w:rsid w:val="00BE2131"/>
    <w:rsid w:val="00BE288D"/>
    <w:rsid w:val="00BE42B9"/>
    <w:rsid w:val="00BE4EFC"/>
    <w:rsid w:val="00BE5414"/>
    <w:rsid w:val="00BE5455"/>
    <w:rsid w:val="00BE5589"/>
    <w:rsid w:val="00BE68AF"/>
    <w:rsid w:val="00BE68F1"/>
    <w:rsid w:val="00BF2F95"/>
    <w:rsid w:val="00BF31EF"/>
    <w:rsid w:val="00BF43D4"/>
    <w:rsid w:val="00BF43DE"/>
    <w:rsid w:val="00BF5435"/>
    <w:rsid w:val="00BF63FD"/>
    <w:rsid w:val="00BF6C08"/>
    <w:rsid w:val="00BF7C8F"/>
    <w:rsid w:val="00C02AB9"/>
    <w:rsid w:val="00C03278"/>
    <w:rsid w:val="00C068F2"/>
    <w:rsid w:val="00C0708F"/>
    <w:rsid w:val="00C1036F"/>
    <w:rsid w:val="00C12A5B"/>
    <w:rsid w:val="00C12F01"/>
    <w:rsid w:val="00C13C6B"/>
    <w:rsid w:val="00C14659"/>
    <w:rsid w:val="00C14781"/>
    <w:rsid w:val="00C16A77"/>
    <w:rsid w:val="00C17661"/>
    <w:rsid w:val="00C17FBB"/>
    <w:rsid w:val="00C2108E"/>
    <w:rsid w:val="00C21436"/>
    <w:rsid w:val="00C22EA3"/>
    <w:rsid w:val="00C23031"/>
    <w:rsid w:val="00C24494"/>
    <w:rsid w:val="00C24DAA"/>
    <w:rsid w:val="00C2548F"/>
    <w:rsid w:val="00C25A80"/>
    <w:rsid w:val="00C27A3F"/>
    <w:rsid w:val="00C3014C"/>
    <w:rsid w:val="00C336BB"/>
    <w:rsid w:val="00C359A1"/>
    <w:rsid w:val="00C3786A"/>
    <w:rsid w:val="00C40314"/>
    <w:rsid w:val="00C41A8E"/>
    <w:rsid w:val="00C433B4"/>
    <w:rsid w:val="00C43A51"/>
    <w:rsid w:val="00C455FF"/>
    <w:rsid w:val="00C47346"/>
    <w:rsid w:val="00C55BB8"/>
    <w:rsid w:val="00C56887"/>
    <w:rsid w:val="00C56A04"/>
    <w:rsid w:val="00C62B15"/>
    <w:rsid w:val="00C6334D"/>
    <w:rsid w:val="00C637CB"/>
    <w:rsid w:val="00C63ED5"/>
    <w:rsid w:val="00C64E9A"/>
    <w:rsid w:val="00C70B8A"/>
    <w:rsid w:val="00C71BEF"/>
    <w:rsid w:val="00C71C6A"/>
    <w:rsid w:val="00C72266"/>
    <w:rsid w:val="00C72C01"/>
    <w:rsid w:val="00C73FAC"/>
    <w:rsid w:val="00C7443C"/>
    <w:rsid w:val="00C76092"/>
    <w:rsid w:val="00C768D2"/>
    <w:rsid w:val="00C771FB"/>
    <w:rsid w:val="00C82799"/>
    <w:rsid w:val="00C840E5"/>
    <w:rsid w:val="00C844EF"/>
    <w:rsid w:val="00C846DA"/>
    <w:rsid w:val="00C859CB"/>
    <w:rsid w:val="00C85A63"/>
    <w:rsid w:val="00C862CE"/>
    <w:rsid w:val="00C86704"/>
    <w:rsid w:val="00C900D3"/>
    <w:rsid w:val="00C9144A"/>
    <w:rsid w:val="00C929D1"/>
    <w:rsid w:val="00C93D3E"/>
    <w:rsid w:val="00C96DC6"/>
    <w:rsid w:val="00C97FDA"/>
    <w:rsid w:val="00CA13EC"/>
    <w:rsid w:val="00CA181E"/>
    <w:rsid w:val="00CA2C37"/>
    <w:rsid w:val="00CA3B4A"/>
    <w:rsid w:val="00CA5A51"/>
    <w:rsid w:val="00CB63AD"/>
    <w:rsid w:val="00CB6EC5"/>
    <w:rsid w:val="00CC05C5"/>
    <w:rsid w:val="00CD009F"/>
    <w:rsid w:val="00CD1555"/>
    <w:rsid w:val="00CD313D"/>
    <w:rsid w:val="00CD3B41"/>
    <w:rsid w:val="00CD69F2"/>
    <w:rsid w:val="00CD7654"/>
    <w:rsid w:val="00CE2B36"/>
    <w:rsid w:val="00CE2E40"/>
    <w:rsid w:val="00CE3116"/>
    <w:rsid w:val="00CE34A7"/>
    <w:rsid w:val="00CE5658"/>
    <w:rsid w:val="00CE651D"/>
    <w:rsid w:val="00CF12A3"/>
    <w:rsid w:val="00CF4754"/>
    <w:rsid w:val="00CF573F"/>
    <w:rsid w:val="00CF7E73"/>
    <w:rsid w:val="00CF7F3A"/>
    <w:rsid w:val="00D00807"/>
    <w:rsid w:val="00D02FEE"/>
    <w:rsid w:val="00D03056"/>
    <w:rsid w:val="00D044F7"/>
    <w:rsid w:val="00D05D9D"/>
    <w:rsid w:val="00D062CC"/>
    <w:rsid w:val="00D11459"/>
    <w:rsid w:val="00D11D30"/>
    <w:rsid w:val="00D12B09"/>
    <w:rsid w:val="00D13AAB"/>
    <w:rsid w:val="00D13B96"/>
    <w:rsid w:val="00D13E94"/>
    <w:rsid w:val="00D21007"/>
    <w:rsid w:val="00D22759"/>
    <w:rsid w:val="00D23AF5"/>
    <w:rsid w:val="00D253E6"/>
    <w:rsid w:val="00D25528"/>
    <w:rsid w:val="00D25789"/>
    <w:rsid w:val="00D26171"/>
    <w:rsid w:val="00D26777"/>
    <w:rsid w:val="00D26918"/>
    <w:rsid w:val="00D2697E"/>
    <w:rsid w:val="00D30352"/>
    <w:rsid w:val="00D31301"/>
    <w:rsid w:val="00D33E27"/>
    <w:rsid w:val="00D3492A"/>
    <w:rsid w:val="00D35048"/>
    <w:rsid w:val="00D361FA"/>
    <w:rsid w:val="00D36DA1"/>
    <w:rsid w:val="00D40E8E"/>
    <w:rsid w:val="00D41004"/>
    <w:rsid w:val="00D413E4"/>
    <w:rsid w:val="00D438FC"/>
    <w:rsid w:val="00D43BFC"/>
    <w:rsid w:val="00D447BC"/>
    <w:rsid w:val="00D45498"/>
    <w:rsid w:val="00D46791"/>
    <w:rsid w:val="00D46A15"/>
    <w:rsid w:val="00D46A51"/>
    <w:rsid w:val="00D51495"/>
    <w:rsid w:val="00D51CEB"/>
    <w:rsid w:val="00D51FD2"/>
    <w:rsid w:val="00D52280"/>
    <w:rsid w:val="00D52BCA"/>
    <w:rsid w:val="00D530B8"/>
    <w:rsid w:val="00D53461"/>
    <w:rsid w:val="00D53CB7"/>
    <w:rsid w:val="00D54217"/>
    <w:rsid w:val="00D54B97"/>
    <w:rsid w:val="00D552E3"/>
    <w:rsid w:val="00D55B4C"/>
    <w:rsid w:val="00D5679F"/>
    <w:rsid w:val="00D634CC"/>
    <w:rsid w:val="00D63544"/>
    <w:rsid w:val="00D63D07"/>
    <w:rsid w:val="00D64771"/>
    <w:rsid w:val="00D648C8"/>
    <w:rsid w:val="00D65221"/>
    <w:rsid w:val="00D659C9"/>
    <w:rsid w:val="00D66E72"/>
    <w:rsid w:val="00D719B3"/>
    <w:rsid w:val="00D731EA"/>
    <w:rsid w:val="00D73D05"/>
    <w:rsid w:val="00D75301"/>
    <w:rsid w:val="00D77584"/>
    <w:rsid w:val="00D779DD"/>
    <w:rsid w:val="00D77FB5"/>
    <w:rsid w:val="00D8569B"/>
    <w:rsid w:val="00D85D6D"/>
    <w:rsid w:val="00D8787B"/>
    <w:rsid w:val="00D87B41"/>
    <w:rsid w:val="00D87E67"/>
    <w:rsid w:val="00D92722"/>
    <w:rsid w:val="00D935E1"/>
    <w:rsid w:val="00D968DD"/>
    <w:rsid w:val="00D97F3F"/>
    <w:rsid w:val="00DA0E71"/>
    <w:rsid w:val="00DA24CB"/>
    <w:rsid w:val="00DA26FD"/>
    <w:rsid w:val="00DA49D7"/>
    <w:rsid w:val="00DA6BE9"/>
    <w:rsid w:val="00DA73DD"/>
    <w:rsid w:val="00DB0EBB"/>
    <w:rsid w:val="00DB1D52"/>
    <w:rsid w:val="00DB2456"/>
    <w:rsid w:val="00DB2741"/>
    <w:rsid w:val="00DB2A44"/>
    <w:rsid w:val="00DB64DF"/>
    <w:rsid w:val="00DB6C16"/>
    <w:rsid w:val="00DB75EB"/>
    <w:rsid w:val="00DB7734"/>
    <w:rsid w:val="00DC265C"/>
    <w:rsid w:val="00DC4A1B"/>
    <w:rsid w:val="00DC508A"/>
    <w:rsid w:val="00DC70F0"/>
    <w:rsid w:val="00DC7EE6"/>
    <w:rsid w:val="00DD22D0"/>
    <w:rsid w:val="00DD2C86"/>
    <w:rsid w:val="00DD2ECB"/>
    <w:rsid w:val="00DD2F5A"/>
    <w:rsid w:val="00DD4363"/>
    <w:rsid w:val="00DD559E"/>
    <w:rsid w:val="00DD620D"/>
    <w:rsid w:val="00DD6AA9"/>
    <w:rsid w:val="00DE1244"/>
    <w:rsid w:val="00DE41CD"/>
    <w:rsid w:val="00DE447C"/>
    <w:rsid w:val="00DE55A4"/>
    <w:rsid w:val="00DE55FD"/>
    <w:rsid w:val="00DE6B19"/>
    <w:rsid w:val="00DE7041"/>
    <w:rsid w:val="00DE7674"/>
    <w:rsid w:val="00DF43E9"/>
    <w:rsid w:val="00DF48F8"/>
    <w:rsid w:val="00DF5C36"/>
    <w:rsid w:val="00DF6180"/>
    <w:rsid w:val="00DF6ABE"/>
    <w:rsid w:val="00DF6B6C"/>
    <w:rsid w:val="00DF6BE8"/>
    <w:rsid w:val="00DF7C64"/>
    <w:rsid w:val="00DF7D84"/>
    <w:rsid w:val="00E00AE7"/>
    <w:rsid w:val="00E01358"/>
    <w:rsid w:val="00E02A1F"/>
    <w:rsid w:val="00E12C02"/>
    <w:rsid w:val="00E12CCF"/>
    <w:rsid w:val="00E1411C"/>
    <w:rsid w:val="00E14623"/>
    <w:rsid w:val="00E14B56"/>
    <w:rsid w:val="00E15D57"/>
    <w:rsid w:val="00E16ABB"/>
    <w:rsid w:val="00E16F81"/>
    <w:rsid w:val="00E22E23"/>
    <w:rsid w:val="00E23836"/>
    <w:rsid w:val="00E23B57"/>
    <w:rsid w:val="00E23BB0"/>
    <w:rsid w:val="00E23F9D"/>
    <w:rsid w:val="00E241B0"/>
    <w:rsid w:val="00E25394"/>
    <w:rsid w:val="00E25E0F"/>
    <w:rsid w:val="00E2679A"/>
    <w:rsid w:val="00E26A17"/>
    <w:rsid w:val="00E26AFE"/>
    <w:rsid w:val="00E27D6E"/>
    <w:rsid w:val="00E30031"/>
    <w:rsid w:val="00E30046"/>
    <w:rsid w:val="00E31FFB"/>
    <w:rsid w:val="00E32323"/>
    <w:rsid w:val="00E32501"/>
    <w:rsid w:val="00E33081"/>
    <w:rsid w:val="00E33307"/>
    <w:rsid w:val="00E348CB"/>
    <w:rsid w:val="00E349B0"/>
    <w:rsid w:val="00E37BA8"/>
    <w:rsid w:val="00E406B7"/>
    <w:rsid w:val="00E40B32"/>
    <w:rsid w:val="00E438EA"/>
    <w:rsid w:val="00E43936"/>
    <w:rsid w:val="00E5006E"/>
    <w:rsid w:val="00E50B63"/>
    <w:rsid w:val="00E51063"/>
    <w:rsid w:val="00E52388"/>
    <w:rsid w:val="00E52D83"/>
    <w:rsid w:val="00E53CBB"/>
    <w:rsid w:val="00E60544"/>
    <w:rsid w:val="00E60A1D"/>
    <w:rsid w:val="00E61713"/>
    <w:rsid w:val="00E622DE"/>
    <w:rsid w:val="00E657A5"/>
    <w:rsid w:val="00E67C4D"/>
    <w:rsid w:val="00E70531"/>
    <w:rsid w:val="00E711F4"/>
    <w:rsid w:val="00E713A1"/>
    <w:rsid w:val="00E71AB6"/>
    <w:rsid w:val="00E73B1C"/>
    <w:rsid w:val="00E755A8"/>
    <w:rsid w:val="00E75A30"/>
    <w:rsid w:val="00E763D8"/>
    <w:rsid w:val="00E7657C"/>
    <w:rsid w:val="00E7673D"/>
    <w:rsid w:val="00E81FA8"/>
    <w:rsid w:val="00E83C3D"/>
    <w:rsid w:val="00E84CA3"/>
    <w:rsid w:val="00E85007"/>
    <w:rsid w:val="00E86700"/>
    <w:rsid w:val="00E91482"/>
    <w:rsid w:val="00E926E6"/>
    <w:rsid w:val="00E93E7E"/>
    <w:rsid w:val="00E96914"/>
    <w:rsid w:val="00EA01D8"/>
    <w:rsid w:val="00EA05B9"/>
    <w:rsid w:val="00EA33E7"/>
    <w:rsid w:val="00EA3753"/>
    <w:rsid w:val="00EA4743"/>
    <w:rsid w:val="00EA6158"/>
    <w:rsid w:val="00EA6EA9"/>
    <w:rsid w:val="00EA78B8"/>
    <w:rsid w:val="00EA7FDD"/>
    <w:rsid w:val="00EB05FE"/>
    <w:rsid w:val="00EB100B"/>
    <w:rsid w:val="00EB107B"/>
    <w:rsid w:val="00EB42FE"/>
    <w:rsid w:val="00EB50ED"/>
    <w:rsid w:val="00EB5665"/>
    <w:rsid w:val="00EB5691"/>
    <w:rsid w:val="00EB5782"/>
    <w:rsid w:val="00EB6307"/>
    <w:rsid w:val="00EB6607"/>
    <w:rsid w:val="00EC06F6"/>
    <w:rsid w:val="00EC1363"/>
    <w:rsid w:val="00EC22FA"/>
    <w:rsid w:val="00EC3479"/>
    <w:rsid w:val="00EC380C"/>
    <w:rsid w:val="00EC4607"/>
    <w:rsid w:val="00EC4923"/>
    <w:rsid w:val="00EC6122"/>
    <w:rsid w:val="00EC6449"/>
    <w:rsid w:val="00EC6611"/>
    <w:rsid w:val="00EC6FA0"/>
    <w:rsid w:val="00ED18A4"/>
    <w:rsid w:val="00ED2688"/>
    <w:rsid w:val="00ED4359"/>
    <w:rsid w:val="00EE24D3"/>
    <w:rsid w:val="00EE7F73"/>
    <w:rsid w:val="00EF1384"/>
    <w:rsid w:val="00EF1CDA"/>
    <w:rsid w:val="00EF26F1"/>
    <w:rsid w:val="00EF29B7"/>
    <w:rsid w:val="00EF41BD"/>
    <w:rsid w:val="00EF6DBB"/>
    <w:rsid w:val="00F026DA"/>
    <w:rsid w:val="00F03639"/>
    <w:rsid w:val="00F04220"/>
    <w:rsid w:val="00F07798"/>
    <w:rsid w:val="00F118AC"/>
    <w:rsid w:val="00F12CF3"/>
    <w:rsid w:val="00F1507D"/>
    <w:rsid w:val="00F16D0B"/>
    <w:rsid w:val="00F21B86"/>
    <w:rsid w:val="00F2311E"/>
    <w:rsid w:val="00F236F1"/>
    <w:rsid w:val="00F326CB"/>
    <w:rsid w:val="00F340F8"/>
    <w:rsid w:val="00F34303"/>
    <w:rsid w:val="00F346F7"/>
    <w:rsid w:val="00F36CE0"/>
    <w:rsid w:val="00F37CC6"/>
    <w:rsid w:val="00F40FDB"/>
    <w:rsid w:val="00F41297"/>
    <w:rsid w:val="00F45624"/>
    <w:rsid w:val="00F46254"/>
    <w:rsid w:val="00F500F2"/>
    <w:rsid w:val="00F5617F"/>
    <w:rsid w:val="00F56B26"/>
    <w:rsid w:val="00F57B2D"/>
    <w:rsid w:val="00F618C1"/>
    <w:rsid w:val="00F62246"/>
    <w:rsid w:val="00F63AAB"/>
    <w:rsid w:val="00F6428F"/>
    <w:rsid w:val="00F64DCF"/>
    <w:rsid w:val="00F67356"/>
    <w:rsid w:val="00F67BCA"/>
    <w:rsid w:val="00F7001A"/>
    <w:rsid w:val="00F70A3E"/>
    <w:rsid w:val="00F7275C"/>
    <w:rsid w:val="00F73A36"/>
    <w:rsid w:val="00F73DF8"/>
    <w:rsid w:val="00F74919"/>
    <w:rsid w:val="00F7645B"/>
    <w:rsid w:val="00F773AA"/>
    <w:rsid w:val="00F808C8"/>
    <w:rsid w:val="00F812F6"/>
    <w:rsid w:val="00F81F56"/>
    <w:rsid w:val="00F850AA"/>
    <w:rsid w:val="00F87641"/>
    <w:rsid w:val="00F87E99"/>
    <w:rsid w:val="00F907CF"/>
    <w:rsid w:val="00F90D2F"/>
    <w:rsid w:val="00F913B6"/>
    <w:rsid w:val="00F91DFE"/>
    <w:rsid w:val="00F935E8"/>
    <w:rsid w:val="00F94E63"/>
    <w:rsid w:val="00F9605E"/>
    <w:rsid w:val="00FA0870"/>
    <w:rsid w:val="00FA1A39"/>
    <w:rsid w:val="00FA4657"/>
    <w:rsid w:val="00FA4C3B"/>
    <w:rsid w:val="00FA54DC"/>
    <w:rsid w:val="00FA61C2"/>
    <w:rsid w:val="00FA7989"/>
    <w:rsid w:val="00FB07F7"/>
    <w:rsid w:val="00FB204A"/>
    <w:rsid w:val="00FB23B5"/>
    <w:rsid w:val="00FB244A"/>
    <w:rsid w:val="00FB2491"/>
    <w:rsid w:val="00FB5E29"/>
    <w:rsid w:val="00FC0BF0"/>
    <w:rsid w:val="00FC1045"/>
    <w:rsid w:val="00FC1D71"/>
    <w:rsid w:val="00FC46FE"/>
    <w:rsid w:val="00FC4D0E"/>
    <w:rsid w:val="00FC5175"/>
    <w:rsid w:val="00FC622C"/>
    <w:rsid w:val="00FC75CB"/>
    <w:rsid w:val="00FD1F26"/>
    <w:rsid w:val="00FD4C70"/>
    <w:rsid w:val="00FD6801"/>
    <w:rsid w:val="00FD7265"/>
    <w:rsid w:val="00FD7768"/>
    <w:rsid w:val="00FE0105"/>
    <w:rsid w:val="00FE4DBD"/>
    <w:rsid w:val="00FE69BF"/>
    <w:rsid w:val="00FE756F"/>
    <w:rsid w:val="00FF20BF"/>
    <w:rsid w:val="00FF2924"/>
    <w:rsid w:val="00FF3394"/>
    <w:rsid w:val="00FF5C78"/>
    <w:rsid w:val="00FF7FDA"/>
    <w:rsid w:val="013B439C"/>
    <w:rsid w:val="02196081"/>
    <w:rsid w:val="021B498E"/>
    <w:rsid w:val="026201E8"/>
    <w:rsid w:val="02713DFD"/>
    <w:rsid w:val="027834EA"/>
    <w:rsid w:val="02BD7ED6"/>
    <w:rsid w:val="02E92912"/>
    <w:rsid w:val="031C493A"/>
    <w:rsid w:val="03E3565F"/>
    <w:rsid w:val="04C637B6"/>
    <w:rsid w:val="04ED713B"/>
    <w:rsid w:val="051F64CD"/>
    <w:rsid w:val="05CA265C"/>
    <w:rsid w:val="05E53517"/>
    <w:rsid w:val="060422B3"/>
    <w:rsid w:val="06475E12"/>
    <w:rsid w:val="0648426E"/>
    <w:rsid w:val="068D3071"/>
    <w:rsid w:val="06A06E83"/>
    <w:rsid w:val="06B132DF"/>
    <w:rsid w:val="07570284"/>
    <w:rsid w:val="0871360C"/>
    <w:rsid w:val="08EA6D0B"/>
    <w:rsid w:val="09133E87"/>
    <w:rsid w:val="092F12E2"/>
    <w:rsid w:val="097C3CB5"/>
    <w:rsid w:val="09F14867"/>
    <w:rsid w:val="0A164F35"/>
    <w:rsid w:val="0A976814"/>
    <w:rsid w:val="0B0F6FAB"/>
    <w:rsid w:val="0B3715BD"/>
    <w:rsid w:val="0B8C5226"/>
    <w:rsid w:val="0B9C53FB"/>
    <w:rsid w:val="0BCC4855"/>
    <w:rsid w:val="0BF41F8B"/>
    <w:rsid w:val="0D7763E4"/>
    <w:rsid w:val="0DE80582"/>
    <w:rsid w:val="0E443F1F"/>
    <w:rsid w:val="0E614F4E"/>
    <w:rsid w:val="0E675059"/>
    <w:rsid w:val="101D67DD"/>
    <w:rsid w:val="1030272A"/>
    <w:rsid w:val="10456057"/>
    <w:rsid w:val="109D06D0"/>
    <w:rsid w:val="10E70615"/>
    <w:rsid w:val="10E7182E"/>
    <w:rsid w:val="119854AA"/>
    <w:rsid w:val="11CF3B4D"/>
    <w:rsid w:val="128D5926"/>
    <w:rsid w:val="12EB6C35"/>
    <w:rsid w:val="13141E36"/>
    <w:rsid w:val="13377F8C"/>
    <w:rsid w:val="13BC6B97"/>
    <w:rsid w:val="13C11668"/>
    <w:rsid w:val="14402B07"/>
    <w:rsid w:val="145874A4"/>
    <w:rsid w:val="146F05EF"/>
    <w:rsid w:val="147038AD"/>
    <w:rsid w:val="14C322E6"/>
    <w:rsid w:val="14E54C42"/>
    <w:rsid w:val="151F37CB"/>
    <w:rsid w:val="15E27F9E"/>
    <w:rsid w:val="15F35B22"/>
    <w:rsid w:val="16F10751"/>
    <w:rsid w:val="17064158"/>
    <w:rsid w:val="172F2596"/>
    <w:rsid w:val="174167DB"/>
    <w:rsid w:val="17BB54EA"/>
    <w:rsid w:val="17C80F8F"/>
    <w:rsid w:val="17F22E0F"/>
    <w:rsid w:val="186C4D4D"/>
    <w:rsid w:val="19113FD5"/>
    <w:rsid w:val="19404D95"/>
    <w:rsid w:val="19672C1F"/>
    <w:rsid w:val="19B971AD"/>
    <w:rsid w:val="19DB57AC"/>
    <w:rsid w:val="19FD2470"/>
    <w:rsid w:val="1A46422E"/>
    <w:rsid w:val="1A4C7F5E"/>
    <w:rsid w:val="1A803B3C"/>
    <w:rsid w:val="1A9D0CFC"/>
    <w:rsid w:val="1AAF359D"/>
    <w:rsid w:val="1AB551BC"/>
    <w:rsid w:val="1ADB159E"/>
    <w:rsid w:val="1B0C3E05"/>
    <w:rsid w:val="1B362AA5"/>
    <w:rsid w:val="1B5B0DB9"/>
    <w:rsid w:val="1BD53722"/>
    <w:rsid w:val="1C766C72"/>
    <w:rsid w:val="1C986131"/>
    <w:rsid w:val="1D394F10"/>
    <w:rsid w:val="1DAF5ED1"/>
    <w:rsid w:val="1DCF2158"/>
    <w:rsid w:val="1DD75790"/>
    <w:rsid w:val="1E0546F0"/>
    <w:rsid w:val="1E126B0C"/>
    <w:rsid w:val="1E282035"/>
    <w:rsid w:val="1E305D79"/>
    <w:rsid w:val="1EDA51B0"/>
    <w:rsid w:val="1F196140"/>
    <w:rsid w:val="204F1382"/>
    <w:rsid w:val="205F3090"/>
    <w:rsid w:val="212E4ACA"/>
    <w:rsid w:val="21CB054E"/>
    <w:rsid w:val="21DE03C2"/>
    <w:rsid w:val="221A3B63"/>
    <w:rsid w:val="22275156"/>
    <w:rsid w:val="22A726C4"/>
    <w:rsid w:val="22AA298D"/>
    <w:rsid w:val="23061BD5"/>
    <w:rsid w:val="23612129"/>
    <w:rsid w:val="239955BB"/>
    <w:rsid w:val="23A542DD"/>
    <w:rsid w:val="242A3202"/>
    <w:rsid w:val="247F7043"/>
    <w:rsid w:val="248B1E0C"/>
    <w:rsid w:val="24B855F1"/>
    <w:rsid w:val="24E644FD"/>
    <w:rsid w:val="2507032D"/>
    <w:rsid w:val="250B1D4C"/>
    <w:rsid w:val="254E45F5"/>
    <w:rsid w:val="25B10C52"/>
    <w:rsid w:val="26B01275"/>
    <w:rsid w:val="26B26FBB"/>
    <w:rsid w:val="27C037BA"/>
    <w:rsid w:val="28140581"/>
    <w:rsid w:val="28186BCD"/>
    <w:rsid w:val="289E04DF"/>
    <w:rsid w:val="28F43009"/>
    <w:rsid w:val="29E15855"/>
    <w:rsid w:val="2A0F7FC9"/>
    <w:rsid w:val="2BD41B10"/>
    <w:rsid w:val="2BF742EE"/>
    <w:rsid w:val="2C007F39"/>
    <w:rsid w:val="2C8A472A"/>
    <w:rsid w:val="2CAC4C36"/>
    <w:rsid w:val="2D20668C"/>
    <w:rsid w:val="2D645EE4"/>
    <w:rsid w:val="2D72373E"/>
    <w:rsid w:val="2DF7603B"/>
    <w:rsid w:val="2E07437C"/>
    <w:rsid w:val="2E2D0C20"/>
    <w:rsid w:val="2E5C0DD7"/>
    <w:rsid w:val="2E9A07F4"/>
    <w:rsid w:val="2ED05E86"/>
    <w:rsid w:val="2EDD2DB7"/>
    <w:rsid w:val="2F9D06E4"/>
    <w:rsid w:val="2FA45F67"/>
    <w:rsid w:val="31B43458"/>
    <w:rsid w:val="322E5B41"/>
    <w:rsid w:val="32970C1C"/>
    <w:rsid w:val="330A0343"/>
    <w:rsid w:val="336052A8"/>
    <w:rsid w:val="33C1741C"/>
    <w:rsid w:val="34317E64"/>
    <w:rsid w:val="344E31D7"/>
    <w:rsid w:val="34E455C5"/>
    <w:rsid w:val="34F4237E"/>
    <w:rsid w:val="357636E1"/>
    <w:rsid w:val="35974BEC"/>
    <w:rsid w:val="35B22B92"/>
    <w:rsid w:val="35F11FB3"/>
    <w:rsid w:val="36077B08"/>
    <w:rsid w:val="37045BA7"/>
    <w:rsid w:val="383361F8"/>
    <w:rsid w:val="391A790A"/>
    <w:rsid w:val="397A6F0C"/>
    <w:rsid w:val="3A4F7407"/>
    <w:rsid w:val="3AF02462"/>
    <w:rsid w:val="3B9C3593"/>
    <w:rsid w:val="3C494D01"/>
    <w:rsid w:val="3C565860"/>
    <w:rsid w:val="3C593B86"/>
    <w:rsid w:val="3D0A321F"/>
    <w:rsid w:val="3DA50642"/>
    <w:rsid w:val="3DD75B77"/>
    <w:rsid w:val="3DE065FB"/>
    <w:rsid w:val="3E225A18"/>
    <w:rsid w:val="3E690F11"/>
    <w:rsid w:val="3F3D637B"/>
    <w:rsid w:val="3F485910"/>
    <w:rsid w:val="3F7D760C"/>
    <w:rsid w:val="3FD74B1B"/>
    <w:rsid w:val="402E1572"/>
    <w:rsid w:val="40467118"/>
    <w:rsid w:val="408246BA"/>
    <w:rsid w:val="40A949DB"/>
    <w:rsid w:val="40F06A37"/>
    <w:rsid w:val="419C65A0"/>
    <w:rsid w:val="41D62E49"/>
    <w:rsid w:val="41E36364"/>
    <w:rsid w:val="41E817C7"/>
    <w:rsid w:val="425F300E"/>
    <w:rsid w:val="42613732"/>
    <w:rsid w:val="42615711"/>
    <w:rsid w:val="426B7BE8"/>
    <w:rsid w:val="42CF1AAB"/>
    <w:rsid w:val="43325A10"/>
    <w:rsid w:val="43346021"/>
    <w:rsid w:val="433C6718"/>
    <w:rsid w:val="439B542A"/>
    <w:rsid w:val="444F4EE7"/>
    <w:rsid w:val="44770132"/>
    <w:rsid w:val="44BA5A65"/>
    <w:rsid w:val="44E333F8"/>
    <w:rsid w:val="44F42CD8"/>
    <w:rsid w:val="459576D6"/>
    <w:rsid w:val="45C811BA"/>
    <w:rsid w:val="460B073F"/>
    <w:rsid w:val="460C6C38"/>
    <w:rsid w:val="460D568F"/>
    <w:rsid w:val="460F1B1B"/>
    <w:rsid w:val="467555BF"/>
    <w:rsid w:val="46F03FD4"/>
    <w:rsid w:val="47263861"/>
    <w:rsid w:val="4755372A"/>
    <w:rsid w:val="479130B7"/>
    <w:rsid w:val="47AB1EA9"/>
    <w:rsid w:val="47C17EAE"/>
    <w:rsid w:val="47DD0C10"/>
    <w:rsid w:val="48015883"/>
    <w:rsid w:val="488317BF"/>
    <w:rsid w:val="49331741"/>
    <w:rsid w:val="493D3898"/>
    <w:rsid w:val="4973094A"/>
    <w:rsid w:val="49766EF9"/>
    <w:rsid w:val="498A48D7"/>
    <w:rsid w:val="49AB631B"/>
    <w:rsid w:val="49C06F70"/>
    <w:rsid w:val="49E1285B"/>
    <w:rsid w:val="4A2175A7"/>
    <w:rsid w:val="4A526A8F"/>
    <w:rsid w:val="4AAB7E33"/>
    <w:rsid w:val="4C265FD5"/>
    <w:rsid w:val="4C344179"/>
    <w:rsid w:val="4CA47D87"/>
    <w:rsid w:val="4D336D45"/>
    <w:rsid w:val="4D354A5B"/>
    <w:rsid w:val="4D3E7AFD"/>
    <w:rsid w:val="4E316100"/>
    <w:rsid w:val="4F4B6AAB"/>
    <w:rsid w:val="4F4F05E1"/>
    <w:rsid w:val="4F8C74E6"/>
    <w:rsid w:val="50AB0F63"/>
    <w:rsid w:val="511A30A5"/>
    <w:rsid w:val="51403407"/>
    <w:rsid w:val="51641384"/>
    <w:rsid w:val="516B2179"/>
    <w:rsid w:val="51CA4E1D"/>
    <w:rsid w:val="526A53BF"/>
    <w:rsid w:val="52B75A1F"/>
    <w:rsid w:val="534F33F7"/>
    <w:rsid w:val="53801BED"/>
    <w:rsid w:val="53F524E3"/>
    <w:rsid w:val="541A51C6"/>
    <w:rsid w:val="542F70EF"/>
    <w:rsid w:val="54574D72"/>
    <w:rsid w:val="54802255"/>
    <w:rsid w:val="54AA04C1"/>
    <w:rsid w:val="55D5728E"/>
    <w:rsid w:val="568408F7"/>
    <w:rsid w:val="568A5454"/>
    <w:rsid w:val="56B93BEE"/>
    <w:rsid w:val="57600BDF"/>
    <w:rsid w:val="5876044D"/>
    <w:rsid w:val="593D0D32"/>
    <w:rsid w:val="5952555F"/>
    <w:rsid w:val="596C3F1B"/>
    <w:rsid w:val="5A656723"/>
    <w:rsid w:val="5AA738D6"/>
    <w:rsid w:val="5AB927D1"/>
    <w:rsid w:val="5ABF72C7"/>
    <w:rsid w:val="5AC00451"/>
    <w:rsid w:val="5B6D62A2"/>
    <w:rsid w:val="5B9C1A2D"/>
    <w:rsid w:val="5BD42462"/>
    <w:rsid w:val="5BD45B37"/>
    <w:rsid w:val="5C394E89"/>
    <w:rsid w:val="5C791484"/>
    <w:rsid w:val="5CAA7AFB"/>
    <w:rsid w:val="5D015910"/>
    <w:rsid w:val="5D1E4D0B"/>
    <w:rsid w:val="5D6312F1"/>
    <w:rsid w:val="5E194465"/>
    <w:rsid w:val="5E2E3AEC"/>
    <w:rsid w:val="5E3940AC"/>
    <w:rsid w:val="5E9036CB"/>
    <w:rsid w:val="5EE61626"/>
    <w:rsid w:val="5F1E1DE6"/>
    <w:rsid w:val="5F3971F6"/>
    <w:rsid w:val="5F710695"/>
    <w:rsid w:val="5F7718D5"/>
    <w:rsid w:val="5F8B7650"/>
    <w:rsid w:val="5FA40EF2"/>
    <w:rsid w:val="60345F9B"/>
    <w:rsid w:val="603D2794"/>
    <w:rsid w:val="60576021"/>
    <w:rsid w:val="60881D45"/>
    <w:rsid w:val="60975658"/>
    <w:rsid w:val="60B7447C"/>
    <w:rsid w:val="61121AFF"/>
    <w:rsid w:val="6122685C"/>
    <w:rsid w:val="613B4CE7"/>
    <w:rsid w:val="615B0313"/>
    <w:rsid w:val="61821C36"/>
    <w:rsid w:val="61C7184D"/>
    <w:rsid w:val="61C81DBF"/>
    <w:rsid w:val="625746D5"/>
    <w:rsid w:val="62B02310"/>
    <w:rsid w:val="62F33633"/>
    <w:rsid w:val="631961C4"/>
    <w:rsid w:val="63267CEF"/>
    <w:rsid w:val="63877DAF"/>
    <w:rsid w:val="639549CE"/>
    <w:rsid w:val="645C7464"/>
    <w:rsid w:val="65361018"/>
    <w:rsid w:val="66377271"/>
    <w:rsid w:val="665B62A8"/>
    <w:rsid w:val="670E7064"/>
    <w:rsid w:val="67325E89"/>
    <w:rsid w:val="67C83912"/>
    <w:rsid w:val="683B041C"/>
    <w:rsid w:val="686E0661"/>
    <w:rsid w:val="68B75C72"/>
    <w:rsid w:val="68FB031B"/>
    <w:rsid w:val="69220E15"/>
    <w:rsid w:val="695763B9"/>
    <w:rsid w:val="69AA0BD4"/>
    <w:rsid w:val="69C45C7B"/>
    <w:rsid w:val="6A442E25"/>
    <w:rsid w:val="6A7019DC"/>
    <w:rsid w:val="6A843D29"/>
    <w:rsid w:val="6ADA6C4C"/>
    <w:rsid w:val="6AEC4983"/>
    <w:rsid w:val="6C420B17"/>
    <w:rsid w:val="6C7436A7"/>
    <w:rsid w:val="6C8106DA"/>
    <w:rsid w:val="6C817EAE"/>
    <w:rsid w:val="6CCA2FF6"/>
    <w:rsid w:val="6CCC33C9"/>
    <w:rsid w:val="6D1C2FE4"/>
    <w:rsid w:val="6D264238"/>
    <w:rsid w:val="6D3A53CC"/>
    <w:rsid w:val="6D4B5478"/>
    <w:rsid w:val="6D961CDF"/>
    <w:rsid w:val="6E2C658A"/>
    <w:rsid w:val="6E3022B7"/>
    <w:rsid w:val="6E481981"/>
    <w:rsid w:val="6E511CF8"/>
    <w:rsid w:val="6E752A6C"/>
    <w:rsid w:val="6EAE38D4"/>
    <w:rsid w:val="6F9479A3"/>
    <w:rsid w:val="705A56E5"/>
    <w:rsid w:val="70CA3FD3"/>
    <w:rsid w:val="70FD4F38"/>
    <w:rsid w:val="711719E5"/>
    <w:rsid w:val="714F7B54"/>
    <w:rsid w:val="71921E16"/>
    <w:rsid w:val="72156B71"/>
    <w:rsid w:val="72896A33"/>
    <w:rsid w:val="72B368B8"/>
    <w:rsid w:val="72F450D4"/>
    <w:rsid w:val="7369181D"/>
    <w:rsid w:val="73881F79"/>
    <w:rsid w:val="73A66A3C"/>
    <w:rsid w:val="74BA14AE"/>
    <w:rsid w:val="74BD2ADD"/>
    <w:rsid w:val="75E44404"/>
    <w:rsid w:val="760E00AD"/>
    <w:rsid w:val="765103F9"/>
    <w:rsid w:val="76BA0C63"/>
    <w:rsid w:val="76C754AC"/>
    <w:rsid w:val="773548FD"/>
    <w:rsid w:val="774A0397"/>
    <w:rsid w:val="774D7BE2"/>
    <w:rsid w:val="779B0CC0"/>
    <w:rsid w:val="78207974"/>
    <w:rsid w:val="782D42C4"/>
    <w:rsid w:val="79220F85"/>
    <w:rsid w:val="79383F64"/>
    <w:rsid w:val="79C173D4"/>
    <w:rsid w:val="7A066139"/>
    <w:rsid w:val="7A1C5397"/>
    <w:rsid w:val="7A1F48B8"/>
    <w:rsid w:val="7A651AEE"/>
    <w:rsid w:val="7A690E0E"/>
    <w:rsid w:val="7B0F5859"/>
    <w:rsid w:val="7BAB225C"/>
    <w:rsid w:val="7BB16DE2"/>
    <w:rsid w:val="7BE61FF3"/>
    <w:rsid w:val="7C146323"/>
    <w:rsid w:val="7C36007D"/>
    <w:rsid w:val="7C3D0B7F"/>
    <w:rsid w:val="7C6C5E7A"/>
    <w:rsid w:val="7C761483"/>
    <w:rsid w:val="7CA11F10"/>
    <w:rsid w:val="7CA236F8"/>
    <w:rsid w:val="7D420B9E"/>
    <w:rsid w:val="7DB20501"/>
    <w:rsid w:val="7DBD2E05"/>
    <w:rsid w:val="7E4371B2"/>
    <w:rsid w:val="7E6F675F"/>
    <w:rsid w:val="7E843CF0"/>
    <w:rsid w:val="7E87288C"/>
    <w:rsid w:val="7ECE4FC6"/>
    <w:rsid w:val="7FFB25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4">
    <w:name w:val="toc 7"/>
    <w:basedOn w:val="1"/>
    <w:next w:val="1"/>
    <w:unhideWhenUsed/>
    <w:qFormat/>
    <w:uiPriority w:val="39"/>
    <w:pPr>
      <w:ind w:left="2520" w:leftChars="1200"/>
    </w:pPr>
    <w:rPr>
      <w:rFonts w:ascii="Calibri" w:hAnsi="Calibri"/>
      <w:szCs w:val="22"/>
    </w:rPr>
  </w:style>
  <w:style w:type="paragraph" w:styleId="5">
    <w:name w:val="annotation text"/>
    <w:basedOn w:val="1"/>
    <w:link w:val="31"/>
    <w:qFormat/>
    <w:uiPriority w:val="0"/>
    <w:pPr>
      <w:jc w:val="left"/>
    </w:pPr>
  </w:style>
  <w:style w:type="paragraph" w:styleId="6">
    <w:name w:val="Body Text"/>
    <w:basedOn w:val="1"/>
    <w:unhideWhenUsed/>
    <w:qFormat/>
    <w:uiPriority w:val="99"/>
    <w:rPr>
      <w:sz w:val="24"/>
    </w:rPr>
  </w:style>
  <w:style w:type="paragraph" w:styleId="7">
    <w:name w:val="Body Text Indent"/>
    <w:basedOn w:val="1"/>
    <w:link w:val="32"/>
    <w:unhideWhenUsed/>
    <w:qFormat/>
    <w:uiPriority w:val="99"/>
    <w:pPr>
      <w:spacing w:after="120"/>
      <w:ind w:left="420" w:leftChars="200"/>
    </w:pPr>
  </w:style>
  <w:style w:type="paragraph" w:styleId="8">
    <w:name w:val="toc 5"/>
    <w:basedOn w:val="1"/>
    <w:next w:val="1"/>
    <w:unhideWhenUsed/>
    <w:qFormat/>
    <w:uiPriority w:val="39"/>
    <w:pPr>
      <w:ind w:left="1680" w:leftChars="800"/>
    </w:pPr>
    <w:rPr>
      <w:rFonts w:ascii="Calibri" w:hAnsi="Calibri"/>
      <w:szCs w:val="22"/>
    </w:rPr>
  </w:style>
  <w:style w:type="paragraph" w:styleId="9">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10">
    <w:name w:val="Plain Text"/>
    <w:basedOn w:val="1"/>
    <w:link w:val="33"/>
    <w:qFormat/>
    <w:uiPriority w:val="0"/>
    <w:rPr>
      <w:rFonts w:ascii="宋体" w:hAnsi="Courier New" w:cs="宋体"/>
    </w:rPr>
  </w:style>
  <w:style w:type="paragraph" w:styleId="11">
    <w:name w:val="toc 8"/>
    <w:basedOn w:val="1"/>
    <w:next w:val="1"/>
    <w:unhideWhenUsed/>
    <w:qFormat/>
    <w:uiPriority w:val="39"/>
    <w:pPr>
      <w:ind w:left="2940" w:leftChars="1400"/>
    </w:pPr>
    <w:rPr>
      <w:rFonts w:ascii="Calibri" w:hAnsi="Calibri"/>
      <w:szCs w:val="22"/>
    </w:rPr>
  </w:style>
  <w:style w:type="paragraph" w:styleId="12">
    <w:name w:val="Body Text Indent 2"/>
    <w:basedOn w:val="1"/>
    <w:unhideWhenUsed/>
    <w:qFormat/>
    <w:uiPriority w:val="99"/>
    <w:pPr>
      <w:ind w:left="980"/>
    </w:pPr>
    <w:rPr>
      <w:sz w:val="24"/>
    </w:rPr>
  </w:style>
  <w:style w:type="paragraph" w:styleId="13">
    <w:name w:val="Balloon Text"/>
    <w:basedOn w:val="1"/>
    <w:qFormat/>
    <w:uiPriority w:val="0"/>
    <w:rPr>
      <w:sz w:val="18"/>
      <w:szCs w:val="18"/>
    </w:rPr>
  </w:style>
  <w:style w:type="paragraph" w:styleId="14">
    <w:name w:val="footer"/>
    <w:basedOn w:val="1"/>
    <w:link w:val="34"/>
    <w:qFormat/>
    <w:uiPriority w:val="99"/>
    <w:pPr>
      <w:tabs>
        <w:tab w:val="center" w:pos="4153"/>
        <w:tab w:val="right" w:pos="8306"/>
      </w:tabs>
      <w:snapToGrid w:val="0"/>
      <w:jc w:val="left"/>
    </w:pPr>
    <w:rPr>
      <w:sz w:val="18"/>
      <w:szCs w:val="18"/>
    </w:rPr>
  </w:style>
  <w:style w:type="paragraph" w:styleId="15">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tabs>
        <w:tab w:val="left" w:pos="630"/>
        <w:tab w:val="right" w:leader="dot" w:pos="7938"/>
      </w:tabs>
      <w:jc w:val="center"/>
    </w:pPr>
    <w:rPr>
      <w:b/>
      <w:bCs/>
      <w:sz w:val="28"/>
      <w:szCs w:val="28"/>
    </w:rPr>
  </w:style>
  <w:style w:type="paragraph" w:styleId="17">
    <w:name w:val="toc 4"/>
    <w:basedOn w:val="1"/>
    <w:next w:val="1"/>
    <w:unhideWhenUsed/>
    <w:qFormat/>
    <w:uiPriority w:val="39"/>
    <w:pPr>
      <w:ind w:left="1260" w:leftChars="600"/>
    </w:pPr>
    <w:rPr>
      <w:rFonts w:ascii="Calibri" w:hAnsi="Calibri"/>
      <w:szCs w:val="22"/>
    </w:rPr>
  </w:style>
  <w:style w:type="paragraph" w:styleId="18">
    <w:name w:val="toc 6"/>
    <w:basedOn w:val="1"/>
    <w:next w:val="1"/>
    <w:unhideWhenUsed/>
    <w:qFormat/>
    <w:uiPriority w:val="39"/>
    <w:pPr>
      <w:ind w:left="2100" w:leftChars="1000"/>
    </w:pPr>
    <w:rPr>
      <w:rFonts w:ascii="Calibri" w:hAnsi="Calibri"/>
      <w:szCs w:val="22"/>
    </w:rPr>
  </w:style>
  <w:style w:type="paragraph" w:styleId="19">
    <w:name w:val="Body Text Indent 3"/>
    <w:basedOn w:val="1"/>
    <w:link w:val="36"/>
    <w:qFormat/>
    <w:uiPriority w:val="0"/>
    <w:pPr>
      <w:spacing w:beforeLines="25" w:line="400" w:lineRule="exact"/>
      <w:ind w:firstLine="480" w:firstLineChars="200"/>
    </w:pPr>
    <w:rPr>
      <w:rFonts w:ascii="宋体" w:hAnsi="宋体"/>
      <w:b/>
      <w:bCs/>
      <w:sz w:val="24"/>
      <w:szCs w:val="24"/>
    </w:rPr>
  </w:style>
  <w:style w:type="paragraph" w:styleId="20">
    <w:name w:val="toc 2"/>
    <w:basedOn w:val="1"/>
    <w:next w:val="1"/>
    <w:unhideWhenUsed/>
    <w:qFormat/>
    <w:uiPriority w:val="39"/>
    <w:pPr>
      <w:ind w:left="420" w:leftChars="200"/>
    </w:pPr>
  </w:style>
  <w:style w:type="paragraph" w:styleId="21">
    <w:name w:val="toc 9"/>
    <w:basedOn w:val="1"/>
    <w:next w:val="1"/>
    <w:unhideWhenUsed/>
    <w:qFormat/>
    <w:uiPriority w:val="39"/>
    <w:pPr>
      <w:ind w:left="3360" w:leftChars="1600"/>
    </w:pPr>
    <w:rPr>
      <w:rFonts w:ascii="Calibri" w:hAnsi="Calibri"/>
      <w:szCs w:val="22"/>
    </w:rPr>
  </w:style>
  <w:style w:type="paragraph" w:styleId="22">
    <w:name w:val="annotation subject"/>
    <w:basedOn w:val="5"/>
    <w:next w:val="5"/>
    <w:link w:val="37"/>
    <w:unhideWhenUsed/>
    <w:qFormat/>
    <w:uiPriority w:val="99"/>
    <w:rPr>
      <w:b/>
      <w:bCs/>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qFormat/>
    <w:uiPriority w:val="0"/>
  </w:style>
  <w:style w:type="character" w:styleId="27">
    <w:name w:val="FollowedHyperlink"/>
    <w:unhideWhenUsed/>
    <w:qFormat/>
    <w:uiPriority w:val="99"/>
    <w:rPr>
      <w:color w:val="800080"/>
      <w:u w:val="single"/>
    </w:rPr>
  </w:style>
  <w:style w:type="character" w:styleId="28">
    <w:name w:val="Hyperlink"/>
    <w:unhideWhenUsed/>
    <w:qFormat/>
    <w:uiPriority w:val="99"/>
    <w:rPr>
      <w:color w:val="0563C1"/>
      <w:u w:val="single"/>
    </w:rPr>
  </w:style>
  <w:style w:type="character" w:styleId="29">
    <w:name w:val="annotation reference"/>
    <w:unhideWhenUsed/>
    <w:qFormat/>
    <w:uiPriority w:val="99"/>
    <w:rPr>
      <w:sz w:val="21"/>
      <w:szCs w:val="21"/>
    </w:rPr>
  </w:style>
  <w:style w:type="character" w:customStyle="1" w:styleId="30">
    <w:name w:val="标题 1 Char"/>
    <w:link w:val="3"/>
    <w:qFormat/>
    <w:uiPriority w:val="9"/>
    <w:rPr>
      <w:b/>
      <w:bCs/>
      <w:kern w:val="44"/>
      <w:sz w:val="44"/>
      <w:szCs w:val="44"/>
      <w:lang w:bidi="ar-SA"/>
    </w:rPr>
  </w:style>
  <w:style w:type="character" w:customStyle="1" w:styleId="31">
    <w:name w:val="批注文字 Char"/>
    <w:link w:val="5"/>
    <w:qFormat/>
    <w:uiPriority w:val="0"/>
    <w:rPr>
      <w:kern w:val="2"/>
      <w:sz w:val="21"/>
      <w:szCs w:val="21"/>
    </w:rPr>
  </w:style>
  <w:style w:type="character" w:customStyle="1" w:styleId="32">
    <w:name w:val="正文文本缩进 Char"/>
    <w:link w:val="7"/>
    <w:semiHidden/>
    <w:qFormat/>
    <w:uiPriority w:val="99"/>
    <w:rPr>
      <w:kern w:val="2"/>
      <w:sz w:val="21"/>
      <w:szCs w:val="21"/>
    </w:rPr>
  </w:style>
  <w:style w:type="character" w:customStyle="1" w:styleId="33">
    <w:name w:val="纯文本 Char"/>
    <w:link w:val="10"/>
    <w:qFormat/>
    <w:uiPriority w:val="0"/>
    <w:rPr>
      <w:rFonts w:ascii="宋体" w:hAnsi="Courier New" w:eastAsia="宋体" w:cs="宋体"/>
      <w:kern w:val="2"/>
      <w:sz w:val="21"/>
      <w:szCs w:val="21"/>
      <w:lang w:val="en-US" w:eastAsia="zh-CN" w:bidi="ar-SA"/>
    </w:rPr>
  </w:style>
  <w:style w:type="character" w:customStyle="1" w:styleId="34">
    <w:name w:val="页脚 Char"/>
    <w:link w:val="14"/>
    <w:qFormat/>
    <w:uiPriority w:val="99"/>
    <w:rPr>
      <w:kern w:val="2"/>
      <w:sz w:val="18"/>
      <w:szCs w:val="18"/>
    </w:rPr>
  </w:style>
  <w:style w:type="character" w:customStyle="1" w:styleId="35">
    <w:name w:val="页眉 Char"/>
    <w:link w:val="15"/>
    <w:qFormat/>
    <w:uiPriority w:val="99"/>
    <w:rPr>
      <w:kern w:val="2"/>
      <w:sz w:val="18"/>
      <w:szCs w:val="18"/>
    </w:rPr>
  </w:style>
  <w:style w:type="character" w:customStyle="1" w:styleId="36">
    <w:name w:val="正文文本缩进 3 Char"/>
    <w:link w:val="19"/>
    <w:qFormat/>
    <w:uiPriority w:val="0"/>
    <w:rPr>
      <w:rFonts w:ascii="宋体" w:hAnsi="宋体"/>
      <w:b/>
      <w:bCs/>
      <w:kern w:val="2"/>
      <w:sz w:val="24"/>
      <w:szCs w:val="24"/>
      <w:lang w:bidi="ar-SA"/>
    </w:rPr>
  </w:style>
  <w:style w:type="character" w:customStyle="1" w:styleId="37">
    <w:name w:val="批注主题 Char"/>
    <w:link w:val="22"/>
    <w:semiHidden/>
    <w:qFormat/>
    <w:uiPriority w:val="99"/>
    <w:rPr>
      <w:b/>
      <w:bCs/>
      <w:kern w:val="2"/>
      <w:sz w:val="21"/>
      <w:szCs w:val="21"/>
    </w:rPr>
  </w:style>
  <w:style w:type="character" w:customStyle="1" w:styleId="38">
    <w:name w:val="font41"/>
    <w:qFormat/>
    <w:uiPriority w:val="0"/>
    <w:rPr>
      <w:rFonts w:hint="eastAsia" w:ascii="宋体" w:hAnsi="宋体" w:eastAsia="宋体" w:cs="宋体"/>
      <w:color w:val="000000"/>
      <w:sz w:val="20"/>
      <w:szCs w:val="20"/>
      <w:u w:val="none"/>
    </w:rPr>
  </w:style>
  <w:style w:type="paragraph" w:customStyle="1" w:styleId="39">
    <w:name w:val="_Style 37"/>
    <w:basedOn w:val="3"/>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40">
    <w:name w:val="p0"/>
    <w:basedOn w:val="1"/>
    <w:qFormat/>
    <w:uiPriority w:val="0"/>
    <w:pPr>
      <w:widowControl/>
    </w:pPr>
    <w:rPr>
      <w:kern w:val="0"/>
    </w:rPr>
  </w:style>
  <w:style w:type="paragraph" w:customStyle="1" w:styleId="41">
    <w:name w:val="彩色列表 - 着色 11"/>
    <w:basedOn w:val="1"/>
    <w:qFormat/>
    <w:uiPriority w:val="0"/>
    <w:pPr>
      <w:ind w:firstLine="420" w:firstLineChars="200"/>
    </w:pPr>
    <w:rPr>
      <w:rFonts w:ascii="Calibri" w:hAnsi="Calibri"/>
      <w:szCs w:val="22"/>
    </w:rPr>
  </w:style>
  <w:style w:type="paragraph" w:customStyle="1" w:styleId="4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43">
    <w:name w:val="_Style 41"/>
    <w:qFormat/>
    <w:uiPriority w:val="71"/>
    <w:rPr>
      <w:rFonts w:ascii="Times New Roman" w:hAnsi="Times New Roman" w:eastAsia="宋体" w:cs="Times New Roman"/>
      <w:kern w:val="2"/>
      <w:sz w:val="21"/>
      <w:szCs w:val="21"/>
      <w:lang w:val="en-US" w:eastAsia="zh-CN" w:bidi="ar-SA"/>
    </w:rPr>
  </w:style>
  <w:style w:type="paragraph" w:customStyle="1" w:styleId="44">
    <w:name w:val="xl67"/>
    <w:basedOn w:val="1"/>
    <w:qFormat/>
    <w:uiPriority w:val="0"/>
    <w:pPr>
      <w:widowControl/>
      <w:spacing w:before="100" w:beforeAutospacing="1" w:after="100" w:afterAutospacing="1"/>
      <w:jc w:val="left"/>
      <w:textAlignment w:val="center"/>
    </w:pPr>
    <w:rPr>
      <w:rFonts w:ascii="宋体" w:hAnsi="宋体" w:cs="宋体"/>
      <w:b/>
      <w:bCs/>
      <w:kern w:val="0"/>
      <w:sz w:val="24"/>
      <w:szCs w:val="24"/>
    </w:rPr>
  </w:style>
  <w:style w:type="paragraph" w:customStyle="1" w:styleId="45">
    <w:name w:val="xl66"/>
    <w:basedOn w:val="1"/>
    <w:qFormat/>
    <w:uiPriority w:val="0"/>
    <w:pPr>
      <w:widowControl/>
      <w:pBdr>
        <w:right w:val="single" w:color="auto" w:sz="4" w:space="0"/>
      </w:pBdr>
      <w:spacing w:before="100" w:beforeAutospacing="1" w:after="100" w:afterAutospacing="1"/>
      <w:textAlignment w:val="center"/>
    </w:pPr>
    <w:rPr>
      <w:rFonts w:ascii="宋体" w:hAnsi="宋体" w:cs="宋体"/>
      <w:color w:val="000000"/>
      <w:kern w:val="0"/>
      <w:sz w:val="24"/>
      <w:szCs w:val="24"/>
    </w:rPr>
  </w:style>
  <w:style w:type="paragraph" w:customStyle="1" w:styleId="46">
    <w:name w:val="无间隔1"/>
    <w:qFormat/>
    <w:uiPriority w:val="0"/>
    <w:rPr>
      <w:rFonts w:ascii="Calibri" w:hAnsi="Calibri" w:eastAsia="宋体" w:cs="Times New Roman"/>
      <w:sz w:val="22"/>
      <w:szCs w:val="22"/>
      <w:lang w:val="en-US" w:eastAsia="zh-CN" w:bidi="ar-SA"/>
    </w:rPr>
  </w:style>
  <w:style w:type="paragraph" w:customStyle="1" w:styleId="47">
    <w:name w:val="CM46"/>
    <w:basedOn w:val="2"/>
    <w:next w:val="2"/>
    <w:qFormat/>
    <w:uiPriority w:val="0"/>
    <w:pPr>
      <w:spacing w:after="128"/>
    </w:pPr>
    <w:rPr>
      <w:color w:val="auto"/>
    </w:rPr>
  </w:style>
  <w:style w:type="paragraph" w:customStyle="1" w:styleId="48">
    <w:name w:val="xl74"/>
    <w:basedOn w:val="1"/>
    <w:qFormat/>
    <w:uiPriority w:val="0"/>
    <w:pPr>
      <w:widowControl/>
      <w:spacing w:before="100" w:beforeAutospacing="1" w:after="100" w:afterAutospacing="1"/>
      <w:jc w:val="center"/>
      <w:textAlignment w:val="center"/>
    </w:pPr>
    <w:rPr>
      <w:rFonts w:ascii="宋体" w:hAnsi="宋体" w:cs="宋体"/>
      <w:kern w:val="0"/>
      <w:sz w:val="24"/>
      <w:szCs w:val="24"/>
    </w:rPr>
  </w:style>
  <w:style w:type="paragraph" w:customStyle="1" w:styleId="49">
    <w:name w:val="彩色底纹 - 着色 11"/>
    <w:semiHidden/>
    <w:qFormat/>
    <w:uiPriority w:val="99"/>
    <w:rPr>
      <w:rFonts w:ascii="Times New Roman" w:hAnsi="Times New Roman" w:eastAsia="宋体" w:cs="Times New Roman"/>
      <w:kern w:val="2"/>
      <w:sz w:val="21"/>
      <w:szCs w:val="21"/>
      <w:lang w:val="en-US" w:eastAsia="zh-CN" w:bidi="ar-SA"/>
    </w:rPr>
  </w:style>
  <w:style w:type="paragraph" w:customStyle="1" w:styleId="50">
    <w:name w:val="CM20"/>
    <w:basedOn w:val="2"/>
    <w:next w:val="2"/>
    <w:qFormat/>
    <w:uiPriority w:val="0"/>
    <w:pPr>
      <w:spacing w:line="468" w:lineRule="atLeast"/>
    </w:pPr>
    <w:rPr>
      <w:color w:val="auto"/>
    </w:rPr>
  </w:style>
  <w:style w:type="paragraph" w:customStyle="1" w:styleId="5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5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000000"/>
      <w:kern w:val="0"/>
      <w:sz w:val="24"/>
      <w:szCs w:val="24"/>
    </w:rPr>
  </w:style>
  <w:style w:type="paragraph" w:customStyle="1" w:styleId="5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54">
    <w:name w:val="xl65"/>
    <w:basedOn w:val="1"/>
    <w:qFormat/>
    <w:uiPriority w:val="0"/>
    <w:pPr>
      <w:widowControl/>
      <w:spacing w:before="100" w:beforeAutospacing="1" w:after="100" w:afterAutospacing="1"/>
      <w:textAlignment w:val="center"/>
    </w:pPr>
    <w:rPr>
      <w:rFonts w:ascii="宋体" w:hAnsi="宋体" w:cs="宋体"/>
      <w:color w:val="000000"/>
      <w:kern w:val="0"/>
      <w:sz w:val="24"/>
      <w:szCs w:val="24"/>
    </w:rPr>
  </w:style>
  <w:style w:type="paragraph" w:customStyle="1" w:styleId="55">
    <w:name w:val="网格表 32"/>
    <w:basedOn w:val="3"/>
    <w:next w:val="1"/>
    <w:unhideWhenUsed/>
    <w:qFormat/>
    <w:uiPriority w:val="39"/>
    <w:pPr>
      <w:widowControl/>
      <w:spacing w:before="240" w:after="0" w:line="259" w:lineRule="auto"/>
      <w:jc w:val="left"/>
      <w:outlineLvl w:val="9"/>
    </w:pPr>
    <w:rPr>
      <w:rFonts w:ascii="Calibri Light" w:hAnsi="Calibri Light" w:cs="Mongolian Baiti"/>
      <w:b w:val="0"/>
      <w:bCs w:val="0"/>
      <w:color w:val="2E74B5"/>
      <w:kern w:val="0"/>
      <w:sz w:val="32"/>
      <w:szCs w:val="32"/>
      <w:lang w:bidi="mn-Mong-CN"/>
    </w:rPr>
  </w:style>
  <w:style w:type="paragraph" w:customStyle="1" w:styleId="56">
    <w:name w:val="彩色底纹 - 着色 12"/>
    <w:semiHidden/>
    <w:qFormat/>
    <w:uiPriority w:val="99"/>
    <w:rPr>
      <w:rFonts w:ascii="Times New Roman" w:hAnsi="Times New Roman" w:eastAsia="宋体" w:cs="Times New Roman"/>
      <w:kern w:val="2"/>
      <w:sz w:val="21"/>
      <w:szCs w:val="21"/>
      <w:lang w:val="en-US" w:eastAsia="zh-CN" w:bidi="ar-SA"/>
    </w:rPr>
  </w:style>
  <w:style w:type="paragraph" w:customStyle="1" w:styleId="5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58">
    <w:name w:val="CM23"/>
    <w:basedOn w:val="2"/>
    <w:next w:val="2"/>
    <w:qFormat/>
    <w:uiPriority w:val="0"/>
    <w:pPr>
      <w:spacing w:line="468" w:lineRule="atLeast"/>
    </w:pPr>
    <w:rPr>
      <w:color w:val="auto"/>
    </w:rPr>
  </w:style>
  <w:style w:type="paragraph" w:customStyle="1" w:styleId="59">
    <w:name w:val="彩色列表 - 着色 12"/>
    <w:basedOn w:val="1"/>
    <w:qFormat/>
    <w:uiPriority w:val="0"/>
    <w:pPr>
      <w:ind w:firstLine="420" w:firstLineChars="200"/>
    </w:pPr>
    <w:rPr>
      <w:rFonts w:ascii="Calibri" w:hAnsi="Calibri"/>
      <w:szCs w:val="22"/>
    </w:rPr>
  </w:style>
  <w:style w:type="paragraph" w:customStyle="1" w:styleId="60">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b/>
      <w:bCs/>
      <w:color w:val="000000"/>
      <w:kern w:val="0"/>
      <w:sz w:val="24"/>
      <w:szCs w:val="24"/>
    </w:rPr>
  </w:style>
  <w:style w:type="paragraph" w:customStyle="1" w:styleId="61">
    <w:name w:val="_Style 44"/>
    <w:next w:val="1"/>
    <w:unhideWhenUsed/>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6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64">
    <w:name w:val="网格表 31"/>
    <w:basedOn w:val="3"/>
    <w:next w:val="1"/>
    <w:unhideWhenUsed/>
    <w:qFormat/>
    <w:uiPriority w:val="39"/>
    <w:pPr>
      <w:widowControl/>
      <w:spacing w:before="240" w:after="0" w:line="259" w:lineRule="auto"/>
      <w:jc w:val="left"/>
      <w:outlineLvl w:val="9"/>
    </w:pPr>
    <w:rPr>
      <w:rFonts w:ascii="Calibri Light" w:hAnsi="Calibri Light" w:cs="Mongolian Baiti"/>
      <w:b w:val="0"/>
      <w:bCs w:val="0"/>
      <w:color w:val="2E74B5"/>
      <w:kern w:val="0"/>
      <w:sz w:val="32"/>
      <w:szCs w:val="32"/>
      <w:lang w:bidi="mn-Mong-CN"/>
    </w:rPr>
  </w:style>
  <w:style w:type="paragraph" w:customStyle="1" w:styleId="6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6">
    <w:name w:val="xl70"/>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67">
    <w:name w:val="CM55"/>
    <w:basedOn w:val="2"/>
    <w:next w:val="2"/>
    <w:qFormat/>
    <w:uiPriority w:val="0"/>
    <w:pPr>
      <w:spacing w:after="245"/>
    </w:pPr>
    <w:rPr>
      <w:color w:val="auto"/>
    </w:rPr>
  </w:style>
  <w:style w:type="paragraph" w:customStyle="1" w:styleId="68">
    <w:name w:val="CM28"/>
    <w:basedOn w:val="2"/>
    <w:next w:val="2"/>
    <w:qFormat/>
    <w:uiPriority w:val="0"/>
    <w:pPr>
      <w:spacing w:line="586" w:lineRule="atLeast"/>
    </w:pPr>
    <w:rPr>
      <w:color w:val="aut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19</Pages>
  <Words>1731</Words>
  <Characters>9870</Characters>
  <Lines>82</Lines>
  <Paragraphs>23</Paragraphs>
  <TotalTime>0</TotalTime>
  <ScaleCrop>false</ScaleCrop>
  <LinksUpToDate>false</LinksUpToDate>
  <CharactersWithSpaces>11578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2021-07-01T05:00:00Z</dcterms:created>
  <dc:creator>法律事务部</dc:creator>
  <cp:lastModifiedBy>firefall</cp:lastModifiedBy>
  <cp:lastPrinted>2018-12-25T03:16:00Z</cp:lastPrinted>
  <dcterms:modified xsi:type="dcterms:W3CDTF">2021-10-18T07:06:11Z</dcterms:modified>
  <dc:title>《债权转让协议》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2F72F2E5C5E14BB58D4C2EAC3B3B27AE</vt:lpwstr>
  </property>
</Properties>
</file>