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中国</w:t>
      </w:r>
      <w:r>
        <w:rPr>
          <w:rFonts w:hint="eastAsia" w:ascii="黑体" w:hAnsi="黑体" w:eastAsia="黑体" w:cs="黑体"/>
          <w:sz w:val="32"/>
          <w:szCs w:val="32"/>
          <w:lang w:eastAsia="zh-CN"/>
        </w:rPr>
        <w:t>华融</w:t>
      </w:r>
      <w:r>
        <w:rPr>
          <w:rFonts w:hint="eastAsia" w:ascii="黑体" w:hAnsi="黑体" w:eastAsia="黑体" w:cs="黑体"/>
          <w:sz w:val="32"/>
          <w:szCs w:val="32"/>
        </w:rPr>
        <w:t>资产管理股份有限公司河南省分公司</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rPr>
        <w:t>关于河南奋北商贸有限公司等51户不良债权资产</w:t>
      </w:r>
      <w:r>
        <w:rPr>
          <w:rFonts w:hint="eastAsia" w:ascii="黑体" w:hAnsi="黑体" w:eastAsia="黑体" w:cs="黑体"/>
          <w:sz w:val="32"/>
          <w:szCs w:val="32"/>
          <w:lang w:val="en-US" w:eastAsia="zh-CN"/>
        </w:rPr>
        <w:t>处置</w:t>
      </w:r>
      <w:r>
        <w:rPr>
          <w:rFonts w:hint="eastAsia" w:ascii="黑体" w:hAnsi="黑体" w:eastAsia="黑体" w:cs="黑体"/>
          <w:sz w:val="32"/>
          <w:szCs w:val="32"/>
        </w:rPr>
        <w:t>瑕疵</w:t>
      </w:r>
      <w:r>
        <w:rPr>
          <w:rFonts w:hint="eastAsia" w:ascii="黑体" w:hAnsi="黑体" w:eastAsia="黑体" w:cs="黑体"/>
          <w:sz w:val="32"/>
          <w:szCs w:val="32"/>
          <w:lang w:val="en-US" w:eastAsia="zh-CN"/>
        </w:rPr>
        <w:t>披露</w:t>
      </w:r>
      <w:r>
        <w:rPr>
          <w:rFonts w:hint="eastAsia" w:ascii="黑体" w:hAnsi="黑体" w:eastAsia="黑体" w:cs="黑体"/>
          <w:sz w:val="32"/>
          <w:szCs w:val="32"/>
        </w:rPr>
        <w:t>及</w:t>
      </w:r>
      <w:r>
        <w:rPr>
          <w:rFonts w:hint="eastAsia" w:ascii="黑体" w:hAnsi="黑体" w:eastAsia="黑体" w:cs="黑体"/>
          <w:sz w:val="32"/>
          <w:szCs w:val="32"/>
          <w:lang w:val="en-US" w:eastAsia="zh-CN"/>
        </w:rPr>
        <w:t>意向竞买人声明</w:t>
      </w:r>
      <w:r>
        <w:rPr>
          <w:rFonts w:hint="eastAsia" w:ascii="黑体" w:hAnsi="黑体" w:eastAsia="黑体" w:cs="黑体"/>
          <w:sz w:val="32"/>
          <w:szCs w:val="32"/>
        </w:rPr>
        <w:t>及</w:t>
      </w:r>
      <w:r>
        <w:rPr>
          <w:rFonts w:hint="eastAsia" w:ascii="黑体" w:hAnsi="黑体" w:eastAsia="黑体" w:cs="黑体"/>
          <w:sz w:val="32"/>
          <w:szCs w:val="32"/>
          <w:lang w:val="en-US" w:eastAsia="zh-CN"/>
        </w:rPr>
        <w:t>保证</w:t>
      </w:r>
    </w:p>
    <w:p>
      <w:pPr>
        <w:spacing w:line="560" w:lineRule="exact"/>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p>
    <w:p>
      <w:pPr>
        <w:spacing w:line="560" w:lineRule="exact"/>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中国华融资产管理股份有限公司河南省分公司拟转让持有的河南奋北商贸有限公司等51户不良债权资产（以下统称为“标的资产”），现将该债权瑕疵、风险等重大事项告知如下：</w:t>
      </w:r>
    </w:p>
    <w:p>
      <w:pPr>
        <w:spacing w:line="560" w:lineRule="exact"/>
        <w:ind w:firstLine="562"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一、</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标的资产基本情况</w:t>
      </w:r>
    </w:p>
    <w:p>
      <w:pPr>
        <w:spacing w:line="560" w:lineRule="exact"/>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截至</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2023</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31</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日，河南奋北商贸有限公司等51户不良债权</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资产的</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债权金额总计</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为200,856,323.13元</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,其中债权本金</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108,033,127.23</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元，利息</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92,785,834.48</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元（包括利息、罚息</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及复利</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等），代垫费用</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37,361.42</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元。</w:t>
      </w:r>
      <w:bookmarkStart w:id="0" w:name="_GoBack"/>
      <w:bookmarkEnd w:id="0"/>
    </w:p>
    <w:p>
      <w:pPr>
        <w:spacing w:line="560" w:lineRule="exact"/>
        <w:ind w:firstLine="560" w:firstLineChars="20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上述</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债权金额仅为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转让方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根据</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现有债权</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资料所作的一般性描述，可能存在计算误差、记录错误，或因其他原因导致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意向受让方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实际接收的标的债权所涉金额（包括但不限于本息数，下同）与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上述</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金额不完全一致，</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转让方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对此等金额误差、记录错误无须承担任何责任；</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转让方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此次系按照标的债权的现状进行转让，若该等债权的有效性、金额与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转让方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判断或裁判机构最终认定的有效性、金额存在差别、误差，并不属于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转让方</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违约。</w:t>
      </w:r>
    </w:p>
    <w:p>
      <w:pPr>
        <w:widowControl w:val="0"/>
        <w:shd w:val="clear" w:color="auto" w:fill="auto"/>
        <w:snapToGrid/>
        <w:spacing w:line="560" w:lineRule="exact"/>
        <w:ind w:firstLine="560" w:firstLineChars="200"/>
        <w:rPr>
          <w:rFonts w:hint="eastAsia" w:asciiTheme="minorEastAsia" w:hAnsiTheme="minorEastAsia" w:eastAsiaTheme="minorEastAsia" w:cstheme="minorEastAsia"/>
          <w:b w:val="0"/>
          <w:bCs w:val="0"/>
          <w:color w:val="000000" w:themeColor="text1"/>
          <w:kern w:val="2"/>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债权详情以债权凭证和债权档案为准。</w:t>
      </w:r>
    </w:p>
    <w:p>
      <w:pPr>
        <w:spacing w:line="560" w:lineRule="exact"/>
        <w:ind w:firstLine="480"/>
        <w:rPr>
          <w:rFonts w:hint="default" w:asciiTheme="minorEastAsia" w:hAnsiTheme="minorEastAsia" w:eastAsiaTheme="minorEastAsia"/>
          <w:b/>
          <w:bCs/>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b/>
          <w:bCs/>
          <w:color w:val="000000" w:themeColor="text1"/>
          <w:kern w:val="0"/>
          <w:sz w:val="28"/>
          <w:szCs w:val="28"/>
          <w:lang w:val="en-US" w:eastAsia="zh-CN"/>
          <w14:textFill>
            <w14:solidFill>
              <w14:schemeClr w14:val="tx1"/>
            </w14:solidFill>
          </w14:textFill>
        </w:rPr>
        <w:t>二、</w:t>
      </w:r>
      <w:r>
        <w:rPr>
          <w:rFonts w:hint="eastAsia" w:asciiTheme="minorEastAsia" w:hAnsiTheme="minorEastAsia" w:eastAsiaTheme="minorEastAsia"/>
          <w:b/>
          <w:bCs/>
          <w:color w:val="000000" w:themeColor="text1"/>
          <w:kern w:val="0"/>
          <w:sz w:val="28"/>
          <w:szCs w:val="28"/>
          <w14:textFill>
            <w14:solidFill>
              <w14:schemeClr w14:val="tx1"/>
            </w14:solidFill>
          </w14:textFill>
        </w:rPr>
        <w:t>风险提示</w:t>
      </w:r>
      <w:r>
        <w:rPr>
          <w:rFonts w:hint="eastAsia" w:asciiTheme="minorEastAsia" w:hAnsiTheme="minorEastAsia" w:eastAsiaTheme="minorEastAsia"/>
          <w:b/>
          <w:bCs/>
          <w:color w:val="000000" w:themeColor="text1"/>
          <w:kern w:val="0"/>
          <w:sz w:val="28"/>
          <w:szCs w:val="28"/>
          <w:lang w:val="en-US" w:eastAsia="zh-CN"/>
          <w14:textFill>
            <w14:solidFill>
              <w14:schemeClr w14:val="tx1"/>
            </w14:solidFill>
          </w14:textFill>
        </w:rPr>
        <w:t>及瑕疵披露</w:t>
      </w:r>
    </w:p>
    <w:p>
      <w:pPr>
        <w:spacing w:line="560" w:lineRule="exact"/>
        <w:ind w:firstLine="482"/>
        <w:rPr>
          <w:rFonts w:asciiTheme="minorEastAsia" w:hAnsiTheme="minorEastAsia" w:eastAsiaTheme="minorEastAsia"/>
          <w:b w:val="0"/>
          <w:bCs/>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14:textFill>
            <w14:solidFill>
              <w14:schemeClr w14:val="tx1"/>
            </w14:solidFill>
          </w14:textFill>
        </w:rPr>
        <w:t>就标的债权转让事宜，</w:t>
      </w: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b w:val="0"/>
          <w:bCs/>
          <w:color w:val="000000" w:themeColor="text1"/>
          <w:sz w:val="28"/>
          <w:szCs w:val="28"/>
          <w14:textFill>
            <w14:solidFill>
              <w14:schemeClr w14:val="tx1"/>
            </w14:solidFill>
          </w14:textFill>
        </w:rPr>
        <w:t>特向</w:t>
      </w: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val="0"/>
          <w:bCs/>
          <w:color w:val="000000" w:themeColor="text1"/>
          <w:sz w:val="28"/>
          <w:szCs w:val="28"/>
          <w14:textFill>
            <w14:solidFill>
              <w14:schemeClr w14:val="tx1"/>
            </w14:solidFill>
          </w14:textFill>
        </w:rPr>
        <w:t>作出如下风险提示；</w:t>
      </w: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val="0"/>
          <w:bCs/>
          <w:color w:val="000000" w:themeColor="text1"/>
          <w:sz w:val="28"/>
          <w:szCs w:val="28"/>
          <w14:textFill>
            <w14:solidFill>
              <w14:schemeClr w14:val="tx1"/>
            </w14:solidFill>
          </w14:textFill>
        </w:rPr>
        <w:t>对以下风险表示完全知晓并自愿承担由此可能发生的不利法律或其他后果。</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拟</w:t>
      </w:r>
      <w:r>
        <w:rPr>
          <w:rFonts w:hint="eastAsia" w:asciiTheme="minorEastAsia" w:hAnsiTheme="minorEastAsia" w:eastAsiaTheme="minorEastAsia"/>
          <w:color w:val="000000" w:themeColor="text1"/>
          <w:sz w:val="28"/>
          <w:szCs w:val="28"/>
          <w14:textFill>
            <w14:solidFill>
              <w14:schemeClr w14:val="tx1"/>
            </w14:solidFill>
          </w14:textFill>
        </w:rPr>
        <w:t>受让的标的债权，可能因法律或政策的不明朗，在</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受让后以其名义向法院或仲裁机构提起诉讼或仲裁、申请变更诉讼或执行主体时，该等法院或仲裁机构不予受理、不予审理、不予支持、不予变更、不予执行等致使</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权利难以行使或落空的风险。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已被告知并完全理解，其</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拟</w:t>
      </w:r>
      <w:r>
        <w:rPr>
          <w:rFonts w:hint="eastAsia" w:asciiTheme="minorEastAsia" w:hAnsiTheme="minorEastAsia" w:eastAsiaTheme="minorEastAsia"/>
          <w:color w:val="000000" w:themeColor="text1"/>
          <w:sz w:val="28"/>
          <w:szCs w:val="28"/>
          <w14:textFill>
            <w14:solidFill>
              <w14:schemeClr w14:val="tx1"/>
            </w14:solidFill>
          </w14:textFill>
        </w:rPr>
        <w:t>受让的标的债权可能存在着瑕疵或尚未发现的重大缺陷，以至于</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预期利益无法最终实现。</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并同意，</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对所转让的标的债权不承担法律上的合法性、有效性等瑕疵担保责任。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已被告知并完全理解，</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拟</w:t>
      </w:r>
      <w:r>
        <w:rPr>
          <w:rFonts w:hint="eastAsia" w:asciiTheme="minorEastAsia" w:hAnsiTheme="minorEastAsia" w:eastAsiaTheme="minorEastAsia"/>
          <w:color w:val="000000" w:themeColor="text1"/>
          <w:sz w:val="28"/>
          <w:szCs w:val="28"/>
          <w14:textFill>
            <w14:solidFill>
              <w14:schemeClr w14:val="tx1"/>
            </w14:solidFill>
          </w14:textFill>
        </w:rPr>
        <w:t>受让的标的债权，可能因存在计算误差或发生变动等，从而导致</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实际接收的标的债权金额与</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公告</w:t>
      </w:r>
      <w:r>
        <w:rPr>
          <w:rFonts w:hint="eastAsia" w:asciiTheme="minorEastAsia" w:hAnsiTheme="minorEastAsia" w:eastAsiaTheme="minorEastAsia"/>
          <w:color w:val="000000" w:themeColor="text1"/>
          <w:sz w:val="28"/>
          <w:szCs w:val="28"/>
          <w14:textFill>
            <w14:solidFill>
              <w14:schemeClr w14:val="tx1"/>
            </w14:solidFill>
          </w14:textFill>
        </w:rPr>
        <w:t>列明的债权金额不完全一致。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中如果存在部分债务人为国有企业，依据有关法律法规及司法解释的规定，对该企业履行了出资职责或者持有该企业国有资本的单位对该等债权享有优先购买权，如该等单位对本资产所涉及的债权行使优先购买权，从而导致</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不能根据</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相关</w:t>
      </w:r>
      <w:r>
        <w:rPr>
          <w:rFonts w:hint="eastAsia" w:asciiTheme="minorEastAsia" w:hAnsiTheme="minorEastAsia" w:eastAsiaTheme="minorEastAsia"/>
          <w:color w:val="000000" w:themeColor="text1"/>
          <w:sz w:val="28"/>
          <w:szCs w:val="28"/>
          <w14:textFill>
            <w14:solidFill>
              <w14:schemeClr w14:val="tx1"/>
            </w14:solidFill>
          </w14:textFill>
        </w:rPr>
        <w:t>协议的约定将该等债权转让给</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或转让行为无效或使</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存在获得该等债权的障碍，</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对此表示理解与接受，放弃追究</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的任何责任。</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拟</w:t>
      </w:r>
      <w:r>
        <w:rPr>
          <w:rFonts w:hint="eastAsia" w:asciiTheme="minorEastAsia" w:hAnsiTheme="minorEastAsia" w:eastAsiaTheme="minorEastAsia"/>
          <w:b w:val="0"/>
          <w:bCs w:val="0"/>
          <w:color w:val="000000" w:themeColor="text1"/>
          <w:sz w:val="28"/>
          <w:szCs w:val="28"/>
          <w14:textFill>
            <w14:solidFill>
              <w14:schemeClr w14:val="tx1"/>
            </w14:solidFill>
          </w14:textFill>
        </w:rPr>
        <w:t>受让的标的债权及其从权利可能存在的瑕疵或重大缺陷包括但不限于下列一项或多项：</w:t>
      </w:r>
    </w:p>
    <w:p>
      <w:pPr>
        <w:spacing w:line="560" w:lineRule="exact"/>
        <w:ind w:firstLine="560" w:firstLineChars="200"/>
        <w:rPr>
          <w:rFonts w:asciiTheme="minorEastAsia" w:hAnsiTheme="minorEastAsia" w:eastAsiaTheme="minorEastAsia"/>
          <w:b w:val="0"/>
          <w:bCs w:val="0"/>
          <w:color w:val="000000" w:themeColor="text1"/>
          <w:sz w:val="28"/>
          <w:szCs w:val="28"/>
          <w:highlight w:val="yellow"/>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（1）与标的债权相关的借款人或担保人或其他责任主体可能存在破产、被解散、被撤销、被注销、被吊销、歇业、被关闭、下落不明以及其他主体存续瑕疵的情形</w:t>
      </w: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其中</w:t>
      </w:r>
      <w:r>
        <w:rPr>
          <w:rFonts w:hint="eastAsia" w:asciiTheme="minorEastAsia" w:hAnsiTheme="minorEastAsia" w:eastAsiaTheme="minorEastAsia"/>
          <w:color w:val="000000" w:themeColor="text1"/>
          <w:sz w:val="28"/>
          <w:szCs w:val="28"/>
          <w14:textFill>
            <w14:solidFill>
              <w14:schemeClr w14:val="tx1"/>
            </w14:solidFill>
          </w14:textFill>
        </w:rPr>
        <w:t>洛阳利他进出口有限公司破产清算程序已终结</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tabs>
          <w:tab w:val="left" w:pos="666"/>
        </w:tabs>
        <w:spacing w:line="360" w:lineRule="auto"/>
        <w:ind w:firstLine="420" w:firstLineChars="15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（2）标的债权可能存在未生效、无效或被撤销的情形；</w:t>
      </w:r>
    </w:p>
    <w:p>
      <w:pPr>
        <w:tabs>
          <w:tab w:val="left" w:pos="666"/>
        </w:tabs>
        <w:spacing w:line="360" w:lineRule="auto"/>
        <w:ind w:firstLine="420" w:firstLineChars="150"/>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（3）标的债权可能已超过诉讼时效或丧失相关的法定期间或因其他原因已部分消灭或成为自然债；南阳华豫农牧实业有限公司、南阳市宛城区鑫恒立养殖场不良债权可能已过执行时效</w:t>
      </w: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（4）标的债权附属的担保协议虚假、不能依法成立或者生效、无效或被撤销，担保人不承担全部担保责任或只承担部分担保责任；</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（5）标的债权附属的保证协议约定主债权不可转让或只对特定债权人承担保证责任；</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（6）标的债权的保证担保在保证协议约定或法律规定的保证期间内因没有向债务人或保证人主张权利，而造成保证人不再承担保证责任或免责；</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（7）标的债权的保证已过诉讼时效；</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（8）标的债权的担保物权在主债权诉讼时效完成后未予行使；</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（9）标的债权的担保物权因担保物灭失而消灭，且没有代位物或其他物上代位权可行使；</w:t>
      </w:r>
    </w:p>
    <w:p>
      <w:pPr>
        <w:spacing w:line="560" w:lineRule="exact"/>
        <w:ind w:firstLine="560" w:firstLineChars="200"/>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（10）标的债权的抵押物实际不存在，抵押物重复抵押，抵押协议实际未生效，抵押担保应办理抵押登记而未办理；或因动产抵押协议未办理登记而抵押物已为第三人善意取得</w:t>
      </w: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抵押物存在多轮查封；</w:t>
      </w:r>
      <w:r>
        <w:rPr>
          <w:rFonts w:hint="eastAsia" w:asciiTheme="minorEastAsia" w:hAnsiTheme="minorEastAsia" w:eastAsiaTheme="minorEastAsia"/>
          <w:color w:val="000000" w:themeColor="text1"/>
          <w:sz w:val="28"/>
          <w:szCs w:val="28"/>
          <w14:textFill>
            <w14:solidFill>
              <w14:schemeClr w14:val="tx1"/>
            </w14:solidFill>
          </w14:textFill>
        </w:rPr>
        <w:t>河南奋北商贸有限公司、洛阳铝缘矿产品有限公司不良债权的抵押物存在刑事查封</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洛阳公华锯业有限公司、河南琥珀冶金材料有限公司、洛阳盈亿保温材料有限公司不良债权有应收账款质押担保，但相关应收账款质押为虚假质押</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（11）标的债权及其附属的最高额抵押，可能因最高额抵押的决算期未届满而发生一次或数次转让，从而可能造成抵押权甚至主债权落空的风险；</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（12）部分标的债权可能已被全部或部分减免、被抵销、被清偿；</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（13）已经进入诉讼程序的标的债权可能存在因超过法定上诉期限、申请执行期限而无法获得法律保护；</w:t>
      </w:r>
    </w:p>
    <w:p>
      <w:pPr>
        <w:spacing w:line="560" w:lineRule="exact"/>
        <w:ind w:firstLine="560" w:firstLineChars="200"/>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14）全部或部分债权经法院或仲裁机构裁判未获得其支持而败诉或部分败诉、法院已裁定终结执行等诉讼风险；受让标的后对债权中的利息、罚息等诉求经法院或仲裁机构裁判未获得其支持而败诉或部分败诉、法院已裁定终结执行等诉讼风险</w:t>
      </w: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（15）已经进入诉讼程序的不良资产债权，可能存在由于</w:t>
      </w: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b w:val="0"/>
          <w:bCs w:val="0"/>
          <w:color w:val="000000" w:themeColor="text1"/>
          <w:sz w:val="28"/>
          <w:szCs w:val="28"/>
          <w14:textFill>
            <w14:solidFill>
              <w14:schemeClr w14:val="tx1"/>
            </w14:solidFill>
          </w14:textFill>
        </w:rPr>
        <w:t>未能在法律规定的期限内申请继续查封而导致</w:t>
      </w: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b w:val="0"/>
          <w:bCs w:val="0"/>
          <w:color w:val="000000" w:themeColor="text1"/>
          <w:sz w:val="28"/>
          <w:szCs w:val="28"/>
          <w14:textFill>
            <w14:solidFill>
              <w14:schemeClr w14:val="tx1"/>
            </w14:solidFill>
          </w14:textFill>
        </w:rPr>
        <w:t>对债务人的资产失去控制；</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（16）标的债权在交易基准日后仍会发生变化；</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（17）主从债权证明文件仅为复印件，或者主从债权证明文件存在缺失、不完整或内容冲突等相关情形；</w:t>
      </w:r>
    </w:p>
    <w:p>
      <w:pPr>
        <w:spacing w:line="560" w:lineRule="exact"/>
        <w:ind w:firstLine="560" w:firstLineChars="200"/>
        <w:rPr>
          <w:rFonts w:hint="eastAsia"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（18）原债权人未就标的债权的转让通知债务人使得债权转让尚未对债务人发生法律效力；</w:t>
      </w:r>
    </w:p>
    <w:p>
      <w:pPr>
        <w:spacing w:line="560" w:lineRule="exact"/>
        <w:ind w:firstLine="560" w:firstLineChars="200"/>
        <w:rPr>
          <w:rFonts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（19）可能存在诉讼或执行主体无法变更、利息无法得到支持以及因前手无法提供资料等原因导致无法启动或者推进司法追偿程序等瑕疵；</w:t>
      </w:r>
    </w:p>
    <w:p>
      <w:pPr>
        <w:spacing w:line="560" w:lineRule="exact"/>
        <w:ind w:firstLine="560" w:firstLineChars="200"/>
        <w:rPr>
          <w:rFonts w:hint="eastAsia" w:asciiTheme="minorEastAsia" w:hAnsiTheme="minorEastAsia" w:eastAsiaTheme="minorEastAsia"/>
          <w:b w:val="0"/>
          <w:bCs w:val="0"/>
          <w:color w:val="auto"/>
          <w:sz w:val="28"/>
          <w:szCs w:val="28"/>
          <w:highlight w:val="none"/>
          <w:lang w:val="en-US" w:eastAsia="zh-CN"/>
        </w:rPr>
      </w:pPr>
      <w:r>
        <w:rPr>
          <w:rFonts w:hint="eastAsia" w:asciiTheme="minorEastAsia" w:hAnsiTheme="minorEastAsia" w:eastAsiaTheme="minorEastAsia"/>
          <w:b w:val="0"/>
          <w:bCs w:val="0"/>
          <w:color w:val="auto"/>
          <w:sz w:val="28"/>
          <w:szCs w:val="28"/>
          <w:highlight w:val="none"/>
          <w:lang w:eastAsia="zh-CN"/>
        </w:rPr>
        <w:t>（</w:t>
      </w:r>
      <w:r>
        <w:rPr>
          <w:rFonts w:hint="eastAsia" w:asciiTheme="minorEastAsia" w:hAnsiTheme="minorEastAsia" w:eastAsiaTheme="minorEastAsia"/>
          <w:b w:val="0"/>
          <w:bCs w:val="0"/>
          <w:color w:val="auto"/>
          <w:sz w:val="28"/>
          <w:szCs w:val="28"/>
          <w:highlight w:val="none"/>
          <w:lang w:val="en-US" w:eastAsia="zh-CN"/>
        </w:rPr>
        <w:t>20</w:t>
      </w:r>
      <w:r>
        <w:rPr>
          <w:rFonts w:hint="eastAsia" w:asciiTheme="minorEastAsia" w:hAnsiTheme="minorEastAsia" w:eastAsiaTheme="minorEastAsia"/>
          <w:b w:val="0"/>
          <w:bCs w:val="0"/>
          <w:color w:val="auto"/>
          <w:sz w:val="28"/>
          <w:szCs w:val="28"/>
          <w:highlight w:val="none"/>
          <w:lang w:eastAsia="zh-CN"/>
        </w:rPr>
        <w:t>）</w:t>
      </w:r>
      <w:r>
        <w:rPr>
          <w:rFonts w:hint="eastAsia" w:asciiTheme="minorEastAsia" w:hAnsiTheme="minorEastAsia" w:eastAsiaTheme="minorEastAsia"/>
          <w:b w:val="0"/>
          <w:bCs w:val="0"/>
          <w:color w:val="auto"/>
          <w:sz w:val="28"/>
          <w:szCs w:val="28"/>
          <w:highlight w:val="none"/>
          <w:lang w:val="en-US" w:eastAsia="zh-CN"/>
        </w:rPr>
        <w:t>标的债权的债务人涉诉涉执案件较多；</w:t>
      </w:r>
    </w:p>
    <w:p>
      <w:pPr>
        <w:ind w:firstLine="560" w:firstLineChars="200"/>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w:t>
      </w:r>
      <w:r>
        <w:rPr>
          <w:rFonts w:hint="eastAsia" w:asciiTheme="minorEastAsia" w:hAnsiTheme="minorEastAsia" w:eastAsiaTheme="minorEastAsia"/>
          <w:b w:val="0"/>
          <w:bCs w:val="0"/>
          <w:color w:val="000000" w:themeColor="text1"/>
          <w:sz w:val="28"/>
          <w:szCs w:val="28"/>
          <w:lang w:val="en-US" w:eastAsia="zh-CN"/>
          <w14:textFill>
            <w14:solidFill>
              <w14:schemeClr w14:val="tx1"/>
            </w14:solidFill>
          </w14:textFill>
        </w:rPr>
        <w:t>21</w:t>
      </w:r>
      <w:r>
        <w:rPr>
          <w:rFonts w:hint="eastAsia" w:asciiTheme="minorEastAsia" w:hAnsiTheme="minorEastAsia" w:eastAsiaTheme="minorEastAsia"/>
          <w:b w:val="0"/>
          <w:bCs w:val="0"/>
          <w:color w:val="000000" w:themeColor="text1"/>
          <w:sz w:val="28"/>
          <w:szCs w:val="28"/>
          <w14:textFill>
            <w14:solidFill>
              <w14:schemeClr w14:val="tx1"/>
            </w14:solidFill>
          </w14:textFill>
        </w:rPr>
        <w:t>）标的债权及其从权利的其他瑕疵或重大缺陷</w:t>
      </w:r>
      <w:r>
        <w:rPr>
          <w:rFonts w:hint="eastAsia" w:asciiTheme="minorEastAsia" w:hAnsiTheme="minorEastAsia" w:eastAsiaTheme="minorEastAsia"/>
          <w:b w:val="0"/>
          <w:bCs w:val="0"/>
          <w:color w:val="000000" w:themeColor="text1"/>
          <w:sz w:val="28"/>
          <w:szCs w:val="28"/>
          <w:lang w:eastAsia="zh-CN"/>
          <w14:textFill>
            <w14:solidFill>
              <w14:schemeClr w14:val="tx1"/>
            </w14:solidFill>
          </w14:textFill>
        </w:rPr>
        <w:t>。</w:t>
      </w:r>
    </w:p>
    <w:p>
      <w:pPr>
        <w:pStyle w:val="3"/>
        <w:keepNext w:val="0"/>
        <w:keepLines w:val="0"/>
        <w:widowControl w:val="0"/>
        <w:numPr>
          <w:ilvl w:val="0"/>
          <w:numId w:val="0"/>
        </w:numPr>
        <w:spacing w:before="0" w:after="0" w:line="560" w:lineRule="exact"/>
        <w:ind w:firstLine="551" w:firstLineChars="196"/>
        <w:jc w:val="both"/>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三、</w:t>
      </w:r>
      <w:r>
        <w:rPr>
          <w:rFonts w:hint="eastAsia" w:asciiTheme="minorEastAsia" w:hAnsiTheme="minorEastAsia" w:eastAsiaTheme="minorEastAsia"/>
          <w:color w:val="000000" w:themeColor="text1"/>
          <w:sz w:val="28"/>
          <w:szCs w:val="28"/>
          <w:highlight w:val="none"/>
          <w:lang w:eastAsia="zh-CN"/>
          <w14:textFill>
            <w14:solidFill>
              <w14:schemeClr w14:val="tx1"/>
            </w14:solidFill>
          </w14:textFill>
        </w:rPr>
        <w:t>意向竞买</w:t>
      </w:r>
      <w:r>
        <w:rPr>
          <w:rFonts w:hint="eastAsia" w:asciiTheme="minorEastAsia" w:hAnsiTheme="minorEastAsia" w:eastAsiaTheme="minorEastAsia"/>
          <w:color w:val="000000" w:themeColor="text1"/>
          <w:sz w:val="28"/>
          <w:szCs w:val="28"/>
          <w:lang w:eastAsia="zh-CN"/>
          <w14:textFill>
            <w14:solidFill>
              <w14:schemeClr w14:val="tx1"/>
            </w14:solidFill>
          </w14:textFill>
        </w:rPr>
        <w:t>人</w:t>
      </w:r>
      <w:r>
        <w:rPr>
          <w:rFonts w:hint="eastAsia" w:asciiTheme="minorEastAsia" w:hAnsiTheme="minorEastAsia" w:eastAsiaTheme="minorEastAsia"/>
          <w:color w:val="000000" w:themeColor="text1"/>
          <w:sz w:val="28"/>
          <w:szCs w:val="28"/>
          <w14:textFill>
            <w14:solidFill>
              <w14:schemeClr w14:val="tx1"/>
            </w14:solidFill>
          </w14:textFill>
        </w:rPr>
        <w:t>声明和保证</w:t>
      </w:r>
    </w:p>
    <w:p>
      <w:pPr>
        <w:pStyle w:val="3"/>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caps w:val="0"/>
          <w:color w:val="000000" w:themeColor="text1"/>
          <w:kern w:val="2"/>
          <w:sz w:val="28"/>
          <w:szCs w:val="28"/>
          <w:lang w:eastAsia="zh-CN"/>
          <w14:textFill>
            <w14:solidFill>
              <w14:schemeClr w14:val="tx1"/>
            </w14:solidFill>
          </w14:textFill>
        </w:rPr>
        <w:t>1、意向竞买人</w:t>
      </w:r>
      <w:r>
        <w:rPr>
          <w:rFonts w:hint="eastAsia" w:asciiTheme="minorEastAsia" w:hAnsiTheme="minorEastAsia" w:eastAsiaTheme="minorEastAsia"/>
          <w:b w:val="0"/>
          <w:caps w:val="0"/>
          <w:color w:val="000000" w:themeColor="text1"/>
          <w:kern w:val="2"/>
          <w:sz w:val="28"/>
          <w:szCs w:val="28"/>
          <w:lang w:val="en-US" w:eastAsia="zh-CN"/>
          <w14:textFill>
            <w14:solidFill>
              <w14:schemeClr w14:val="tx1"/>
            </w14:solidFill>
          </w14:textFill>
        </w:rPr>
        <w:t>拥有购买</w:t>
      </w:r>
      <w:r>
        <w:rPr>
          <w:rFonts w:hint="eastAsia" w:asciiTheme="minorEastAsia" w:hAnsiTheme="minorEastAsia" w:eastAsiaTheme="minorEastAsia"/>
          <w:b w:val="0"/>
          <w:caps w:val="0"/>
          <w:color w:val="000000" w:themeColor="text1"/>
          <w:kern w:val="2"/>
          <w:sz w:val="28"/>
          <w:szCs w:val="28"/>
          <w:lang w:eastAsia="zh-CN"/>
          <w14:textFill>
            <w14:solidFill>
              <w14:schemeClr w14:val="tx1"/>
            </w14:solidFill>
          </w14:textFill>
        </w:rPr>
        <w:t>的授权和权利。</w:t>
      </w:r>
      <w:r>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t xml:space="preserve"> </w:t>
      </w:r>
    </w:p>
    <w:p>
      <w:pPr>
        <w:spacing w:line="560" w:lineRule="exact"/>
        <w:ind w:firstLine="562"/>
        <w:rPr>
          <w:rFonts w:hint="default" w:cs="Times New Roman" w:asciiTheme="minorEastAsia" w:hAnsiTheme="minorEastAsia" w:eastAsiaTheme="minorEastAsia"/>
          <w:b w:val="0"/>
          <w:bCs/>
          <w:caps/>
          <w:color w:val="000000" w:themeColor="text1"/>
          <w:kern w:val="36"/>
          <w:sz w:val="28"/>
          <w:szCs w:val="28"/>
          <w:lang w:val="en-US" w:eastAsia="zh-CN" w:bidi="ar-SA"/>
          <w14:textFill>
            <w14:solidFill>
              <w14:schemeClr w14:val="tx1"/>
            </w14:solidFill>
          </w14:textFill>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2、</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承诺具备收购标的债权的受让资格，符合现行法律法规及其他相关规范性文件有关受让资格的规定，包括但不限于自身</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非以下</w:t>
      </w:r>
      <w:r>
        <w:rPr>
          <w:rFonts w:hint="eastAsia" w:cs="Times New Roman" w:asciiTheme="minorEastAsia" w:hAnsiTheme="minorEastAsia" w:eastAsiaTheme="minorEastAsia"/>
          <w:b w:val="0"/>
          <w:bCs/>
          <w:caps/>
          <w:color w:val="000000" w:themeColor="text1"/>
          <w:kern w:val="36"/>
          <w:sz w:val="28"/>
          <w:szCs w:val="28"/>
          <w:lang w:val="en-US" w:eastAsia="zh-CN" w:bidi="ar-SA"/>
          <w14:textFill>
            <w14:solidFill>
              <w14:schemeClr w14:val="tx1"/>
            </w14:solidFill>
          </w14:textFill>
        </w:rPr>
        <w:t>人员：国家公务员、金融监管机构工作人员、政法干警、金融资产公司工作人员、原债务人及利益相关方（包括但不限于原债务人、担保方等）、原债务人的管理层或其直系亲属以及参与资产处置工作的律师、会计师、评估师等中介机构人员等关联人。</w:t>
      </w:r>
    </w:p>
    <w:p>
      <w:pPr>
        <w:pStyle w:val="3"/>
        <w:keepNext w:val="0"/>
        <w:keepLines w:val="0"/>
        <w:widowControl w:val="0"/>
        <w:numPr>
          <w:ilvl w:val="0"/>
          <w:numId w:val="0"/>
        </w:numPr>
        <w:spacing w:before="0" w:after="0" w:line="560" w:lineRule="exact"/>
        <w:ind w:firstLine="560" w:firstLineChars="200"/>
        <w:jc w:val="both"/>
        <w:rPr>
          <w:rFonts w:hint="eastAsia" w:asciiTheme="minorEastAsia" w:hAnsiTheme="minorEastAsia" w:eastAsiaTheme="minorEastAsia"/>
          <w:b w:val="0"/>
          <w:bCs/>
          <w:color w:val="000000" w:themeColor="text1"/>
          <w:kern w:val="2"/>
          <w:sz w:val="28"/>
          <w:szCs w:val="28"/>
          <w:lang w:eastAsia="zh-CN"/>
          <w14:textFill>
            <w14:solidFill>
              <w14:schemeClr w14:val="tx1"/>
            </w14:solidFill>
          </w14:textFill>
        </w:rPr>
      </w:pPr>
      <w:r>
        <w:rPr>
          <w:rFonts w:hint="eastAsia" w:cs="Times New Roman" w:asciiTheme="minorEastAsia" w:hAnsiTheme="minorEastAsia" w:eastAsiaTheme="minorEastAsia"/>
          <w:b w:val="0"/>
          <w:bCs/>
          <w:caps/>
          <w:color w:val="000000" w:themeColor="text1"/>
          <w:kern w:val="36"/>
          <w:sz w:val="28"/>
          <w:szCs w:val="28"/>
          <w:lang w:val="en-US" w:eastAsia="zh-CN" w:bidi="ar-SA"/>
          <w14:textFill>
            <w14:solidFill>
              <w14:schemeClr w14:val="tx1"/>
            </w14:solidFill>
          </w14:textFill>
        </w:rPr>
        <w:t>3、意向竞买人已自行评估了标的债权可能的可回收性，并且独立地作出签署相关协议的决定，未依赖转让方所作的任何</w:t>
      </w:r>
      <w:r>
        <w:rPr>
          <w:rFonts w:hint="eastAsia" w:asciiTheme="minorEastAsia" w:hAnsiTheme="minorEastAsia" w:eastAsiaTheme="minorEastAsia"/>
          <w:b w:val="0"/>
          <w:bCs/>
          <w:color w:val="000000" w:themeColor="text1"/>
          <w:kern w:val="2"/>
          <w:sz w:val="28"/>
          <w:szCs w:val="28"/>
          <w:lang w:eastAsia="zh-CN"/>
          <w14:textFill>
            <w14:solidFill>
              <w14:schemeClr w14:val="tx1"/>
            </w14:solidFill>
          </w14:textFill>
        </w:rPr>
        <w:t>声明。</w:t>
      </w:r>
    </w:p>
    <w:p>
      <w:pPr>
        <w:spacing w:line="560" w:lineRule="exact"/>
        <w:ind w:firstLine="562" w:firstLineChars="200"/>
        <w:rPr>
          <w:rFonts w:asciiTheme="minorEastAsia" w:hAnsiTheme="minorEastAsia" w:eastAsiaTheme="minorEastAsia"/>
          <w:b/>
          <w:bCs w:val="0"/>
          <w:color w:val="000000" w:themeColor="text1"/>
          <w:sz w:val="28"/>
          <w:szCs w:val="28"/>
          <w14:textFill>
            <w14:solidFill>
              <w14:schemeClr w14:val="tx1"/>
            </w14:solidFill>
          </w14:textFill>
        </w:rPr>
      </w:pPr>
      <w:r>
        <w:rPr>
          <w:rFonts w:hint="eastAsia" w:asciiTheme="minorEastAsia" w:hAnsiTheme="minorEastAsia" w:eastAsiaTheme="minorEastAsia"/>
          <w:b/>
          <w:bCs w:val="0"/>
          <w:caps/>
          <w:color w:val="000000" w:themeColor="text1"/>
          <w:sz w:val="28"/>
          <w:szCs w:val="28"/>
          <w:lang w:val="en-US" w:eastAsia="zh-CN"/>
          <w14:textFill>
            <w14:solidFill>
              <w14:schemeClr w14:val="tx1"/>
            </w14:solidFill>
          </w14:textFill>
        </w:rPr>
        <w:t>4、</w:t>
      </w:r>
      <w:r>
        <w:rPr>
          <w:rFonts w:hint="eastAsia" w:asciiTheme="minorEastAsia" w:hAnsiTheme="minorEastAsia" w:eastAsiaTheme="minorEastAsia"/>
          <w:b/>
          <w:bCs w:val="0"/>
          <w:caps/>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bCs w:val="0"/>
          <w:color w:val="000000" w:themeColor="text1"/>
          <w:sz w:val="28"/>
          <w:szCs w:val="28"/>
          <w14:textFill>
            <w14:solidFill>
              <w14:schemeClr w14:val="tx1"/>
            </w14:solidFill>
          </w14:textFill>
        </w:rPr>
        <w:t>已经对标的债权进行了必要的调查，并被告知并完全了解标的债权，可能存在瑕疵或尚未发现的重大缺陷或因各种因素难以得到清偿以致</w:t>
      </w:r>
      <w:r>
        <w:rPr>
          <w:rFonts w:hint="eastAsia" w:asciiTheme="minorEastAsia" w:hAnsiTheme="minorEastAsia" w:eastAsiaTheme="minorEastAsia"/>
          <w:b/>
          <w:bCs w:val="0"/>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bCs w:val="0"/>
          <w:color w:val="000000" w:themeColor="text1"/>
          <w:sz w:val="28"/>
          <w:szCs w:val="28"/>
          <w14:textFill>
            <w14:solidFill>
              <w14:schemeClr w14:val="tx1"/>
            </w14:solidFill>
          </w14:textFill>
        </w:rPr>
        <w:t>预期利益可能无法最终实现。</w:t>
      </w:r>
      <w:r>
        <w:rPr>
          <w:rFonts w:hint="eastAsia" w:asciiTheme="minorEastAsia" w:hAnsiTheme="minorEastAsia" w:eastAsiaTheme="minorEastAsia"/>
          <w:b/>
          <w:bCs w:val="0"/>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bCs w:val="0"/>
          <w:color w:val="000000" w:themeColor="text1"/>
          <w:sz w:val="28"/>
          <w:szCs w:val="28"/>
          <w14:textFill>
            <w14:solidFill>
              <w14:schemeClr w14:val="tx1"/>
            </w14:solidFill>
          </w14:textFill>
        </w:rPr>
        <w:t>对于标的债权存在的风险，包括但不限于债权所包含的利息、罚息请求权不确定性的风险，在受让债权后以</w:t>
      </w:r>
      <w:r>
        <w:rPr>
          <w:rFonts w:hint="eastAsia" w:asciiTheme="minorEastAsia" w:hAnsiTheme="minorEastAsia" w:eastAsiaTheme="minorEastAsia"/>
          <w:b/>
          <w:bCs w:val="0"/>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bCs w:val="0"/>
          <w:color w:val="000000" w:themeColor="text1"/>
          <w:sz w:val="28"/>
          <w:szCs w:val="28"/>
          <w14:textFill>
            <w14:solidFill>
              <w14:schemeClr w14:val="tx1"/>
            </w14:solidFill>
          </w14:textFill>
        </w:rPr>
        <w:t>名义向法院或仲裁机构提起诉讼或仲裁、申请变更诉讼请求或执行主体时不被法院或仲裁机构受理、审理、变更、执行等致使或可能致使</w:t>
      </w:r>
      <w:r>
        <w:rPr>
          <w:rFonts w:hint="eastAsia" w:asciiTheme="minorEastAsia" w:hAnsiTheme="minorEastAsia" w:eastAsiaTheme="minorEastAsia"/>
          <w:b/>
          <w:bCs w:val="0"/>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bCs w:val="0"/>
          <w:color w:val="000000" w:themeColor="text1"/>
          <w:sz w:val="28"/>
          <w:szCs w:val="28"/>
          <w14:textFill>
            <w14:solidFill>
              <w14:schemeClr w14:val="tx1"/>
            </w14:solidFill>
          </w14:textFill>
        </w:rPr>
        <w:t>已受让债权权利难以行使或落空的风险等，进行了评估并自愿承担由上述风险造成的一切损失或预期利益的丧失，该损失或预期利益的丧失与</w:t>
      </w:r>
      <w:r>
        <w:rPr>
          <w:rFonts w:hint="eastAsia" w:asciiTheme="minorEastAsia" w:hAnsiTheme="minorEastAsia" w:eastAsiaTheme="minorEastAsia"/>
          <w:b/>
          <w:bCs w:val="0"/>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b/>
          <w:bCs w:val="0"/>
          <w:color w:val="000000" w:themeColor="text1"/>
          <w:sz w:val="28"/>
          <w:szCs w:val="28"/>
          <w14:textFill>
            <w14:solidFill>
              <w14:schemeClr w14:val="tx1"/>
            </w14:solidFill>
          </w14:textFill>
        </w:rPr>
        <w:t>无关。</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val="0"/>
          <w:bCs/>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b w:val="0"/>
          <w:bCs/>
          <w:color w:val="000000" w:themeColor="text1"/>
          <w:sz w:val="28"/>
          <w:szCs w:val="28"/>
          <w14:textFill>
            <w14:solidFill>
              <w14:schemeClr w14:val="tx1"/>
            </w14:solidFill>
          </w14:textFill>
        </w:rPr>
        <w:t>承诺</w:t>
      </w:r>
      <w:r>
        <w:rPr>
          <w:rFonts w:hint="eastAsia" w:asciiTheme="minorEastAsia" w:hAnsiTheme="minorEastAsia" w:eastAsiaTheme="minorEastAsia"/>
          <w:color w:val="000000" w:themeColor="text1"/>
          <w:sz w:val="28"/>
          <w:szCs w:val="28"/>
          <w14:textFill>
            <w14:solidFill>
              <w14:schemeClr w14:val="tx1"/>
            </w14:solidFill>
          </w14:textFill>
        </w:rPr>
        <w:t>就</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标的债权</w:t>
      </w:r>
      <w:r>
        <w:rPr>
          <w:rFonts w:hint="eastAsia" w:asciiTheme="minorEastAsia" w:hAnsiTheme="minorEastAsia" w:eastAsiaTheme="minorEastAsia"/>
          <w:color w:val="000000" w:themeColor="text1"/>
          <w:sz w:val="28"/>
          <w:szCs w:val="28"/>
          <w14:textFill>
            <w14:solidFill>
              <w14:schemeClr w14:val="tx1"/>
            </w14:solidFill>
          </w14:textFill>
        </w:rPr>
        <w:t>，在</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相关</w:t>
      </w:r>
      <w:r>
        <w:rPr>
          <w:rFonts w:hint="eastAsia" w:asciiTheme="minorEastAsia" w:hAnsiTheme="minorEastAsia" w:eastAsiaTheme="minorEastAsia"/>
          <w:color w:val="000000" w:themeColor="text1"/>
          <w:sz w:val="28"/>
          <w:szCs w:val="28"/>
          <w14:textFill>
            <w14:solidFill>
              <w14:schemeClr w14:val="tx1"/>
            </w14:solidFill>
          </w14:textFill>
        </w:rPr>
        <w:t>协议生效后，不向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提出任何调整、退还、替换、相应减少转让价款的请求及其他类似请求。不得以重大误解、显失公平或其他任何理向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由主张变更、撤销、解除</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债权转让</w:t>
      </w:r>
      <w:r>
        <w:rPr>
          <w:rFonts w:hint="eastAsia" w:asciiTheme="minorEastAsia" w:hAnsiTheme="minorEastAsia" w:eastAsiaTheme="minorEastAsia"/>
          <w:color w:val="000000" w:themeColor="text1"/>
          <w:sz w:val="28"/>
          <w:szCs w:val="28"/>
          <w14:textFill>
            <w14:solidFill>
              <w14:schemeClr w14:val="tx1"/>
            </w14:solidFill>
          </w14:textFill>
        </w:rPr>
        <w:t>协议或减损协议效力及其他类似请求。</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保证并承诺，其向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支付的标的债权转让价款为</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通过合法途径获得的来源合法的资金。</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保证并承诺，其向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提供的所有证明、文件、资料和信息，均在提供资料的当日和适用</w:t>
      </w:r>
      <w:r>
        <w:rPr>
          <w:rFonts w:asciiTheme="minorEastAsia" w:hAnsiTheme="minorEastAsia" w:eastAsiaTheme="minorEastAsia"/>
          <w:color w:val="000000" w:themeColor="text1"/>
          <w:sz w:val="28"/>
          <w:szCs w:val="28"/>
          <w14:textFill>
            <w14:solidFill>
              <w14:schemeClr w14:val="tx1"/>
            </w14:solidFill>
          </w14:textFill>
        </w:rPr>
        <w:t>/使用期内是真实、准确和完整的，不存在故意隐瞒和欺骗的情况</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保证在其取得标的债权后，将严格按照中国法律法规许可的方式处置标的债权，不以</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的名义对外进行追收，并不得采取任何非法形式或损害</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的利益，若出现违法行为或损害</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利益等情形，</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应承担一切法律责任。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进一步向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承诺，只要其应向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支付的标的债权转让价款（包括因其延期支付而产生的逾期付款违约金）尚未完全付清，</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须严格履行下述义务：（1）</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应根据</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的要求向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提供其经营情况报告；（2）如发生针对</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或与其有关的诉讼、仲裁或争议，而其结果可能严重影响</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的财务状况、业务经营及支付能力时，</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应立即通知</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，并应及时向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提供其合理要求的有关诉讼、仲裁或争议的情况、资料。</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保证并承诺若发生标的债权中任何债权的主债务人、担保人、任何第三方针对</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转让的债权所提起的任何诉讼、仲裁等行为，所有责任和风险由</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10、</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确认，</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在对标的债权进行尽职调查的过程中被告知标的债权可能会因国家法律、法规、司法解释的规定存在债权优先购买权人，</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并充分理解</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在处置国有企业作为债务人的债权过程作出的决策。</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不可撤销地承诺：如享有标的债权优先购买权的主体行使优先购买权导致</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相关</w:t>
      </w:r>
      <w:r>
        <w:rPr>
          <w:rFonts w:hint="eastAsia" w:asciiTheme="minorEastAsia" w:hAnsiTheme="minorEastAsia" w:eastAsiaTheme="minorEastAsia"/>
          <w:color w:val="000000" w:themeColor="text1"/>
          <w:sz w:val="28"/>
          <w:szCs w:val="28"/>
          <w14:textFill>
            <w14:solidFill>
              <w14:schemeClr w14:val="tx1"/>
            </w14:solidFill>
          </w14:textFill>
        </w:rPr>
        <w:t>协议被撤销、解除或无效的，</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无须因此向</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承担任何的违约责任。如</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已将标的债权转让给</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及/或</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已完成标的债权债权文件的交割手续的，在</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将标的债权按照签署协议时的状态（包括但不限于标的债权债权文件）返还给</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后，</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将向</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返还已收取的债权转让价款，但该等款项在</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账户存续期间的利息无需退还。</w:t>
      </w:r>
    </w:p>
    <w:p>
      <w:pPr>
        <w:spacing w:line="560" w:lineRule="exact"/>
        <w:ind w:firstLine="573"/>
        <w:rPr>
          <w:color w:val="000000" w:themeColor="text1"/>
          <w14:textFill>
            <w14:solidFill>
              <w14:schemeClr w14:val="tx1"/>
            </w14:solidFill>
          </w14:textFill>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11、</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承诺，</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在受让标的债权过程中对原债权人所作出的任何声明、承诺等事项在转让后同样对</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后手继受方和后续任何其他资产接收方具有约束力，</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不会向原债权人提出任何权利主张或追索。</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承诺，</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将在其与后手继受方签订的相关协议中约定：（1）</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后手继受方和后续任何资产接收方不能就原债权人已转让给</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的债权向</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及原债权人提出任何权利主张及违约责任；（2）</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后手继受方和后续任何资产接收方若转让资产，将在相关协议中与其他继受方和资产接收方作出同样约定。</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将遵守上述承诺，以履行原债权人在转让协议中对</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的约束。</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12、</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保证将不会因受让的标的债权而对中国国家及各级政府以及政府部门以任何方式行使追索权（包括但不限于不会按照中国法律有关规定向中国国家及各级政府以及政府部门行使担保权利人的权利）。如</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日后将标的债权之整体或部分再转让给任何第三方，</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将确保该受让方作出相同承诺，及保证该等第三方的主体资质符合</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针对此次标的债权的转让而设定的关于标的债权受让方的主体资质之要求，并要求该等第三方日后如有类似转让行为，其亦应保证下一手的受让方之主体资质符合上述要求，否则，由此导致之任何纠纷、责任概由</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自行承担。</w:t>
      </w:r>
    </w:p>
    <w:p>
      <w:pPr>
        <w:spacing w:line="560" w:lineRule="exact"/>
        <w:ind w:firstLine="560" w:firstLineChars="2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如</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违反上述约定行使任何针对中国国家及其政府部门的请求权，并导致中国国家及其政府部门败诉，且自中国国家、其政府部门或其他责任主体获得金钱、权益或实物等方面的受偿或赔付，</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须在获得金钱、权益或实物等方面的受偿或赔付之日起的三个工作日内将其全部取得无条件地全数支付给</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或</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指定的其他主体，并按</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相关</w:t>
      </w:r>
      <w:r>
        <w:rPr>
          <w:rFonts w:hint="eastAsia" w:asciiTheme="minorEastAsia" w:hAnsiTheme="minorEastAsia" w:eastAsiaTheme="minorEastAsia"/>
          <w:color w:val="000000" w:themeColor="text1"/>
          <w:sz w:val="28"/>
          <w:szCs w:val="28"/>
          <w14:textFill>
            <w14:solidFill>
              <w14:schemeClr w14:val="tx1"/>
            </w14:solidFill>
          </w14:textFill>
        </w:rPr>
        <w:t>协议约定承担违约责任。</w:t>
      </w:r>
    </w:p>
    <w:p>
      <w:pPr>
        <w:spacing w:line="560" w:lineRule="exact"/>
        <w:ind w:firstLine="57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13、</w:t>
      </w:r>
      <w:r>
        <w:rPr>
          <w:rFonts w:hint="eastAsia" w:asciiTheme="minorEastAsia" w:hAnsiTheme="minorEastAsia" w:eastAsiaTheme="minorEastAsia"/>
          <w:color w:val="000000" w:themeColor="text1"/>
          <w:kern w:val="0"/>
          <w:sz w:val="28"/>
          <w:szCs w:val="28"/>
          <w14:textFill>
            <w14:solidFill>
              <w14:schemeClr w14:val="tx1"/>
            </w14:solidFill>
          </w14:textFill>
        </w:rPr>
        <w:t>除</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故意隐瞒、欺诈、伪造而产生的瑕疵外，</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kern w:val="0"/>
          <w:sz w:val="28"/>
          <w:szCs w:val="28"/>
          <w14:textFill>
            <w14:solidFill>
              <w14:schemeClr w14:val="tx1"/>
            </w14:solidFill>
          </w14:textFill>
        </w:rPr>
        <w:t>不得对</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行使追索权。</w:t>
      </w:r>
    </w:p>
    <w:p>
      <w:pPr>
        <w:pStyle w:val="10"/>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14、</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负有配合</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开展反洗钱工作的义务，包括按照</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要求如实提供包括但不限于</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及其受益所有人身份信息、资金来源、交易目的及相关证明文件、财务报表及其他</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需要的任何资料与信息，并保证所提供给</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资料及信息的真实、准确及完整。</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应确保合作期间持续满足</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反洗钱客户及其受益所有人身份持续识别及风险等级动态评估工作需要，及时向</w:t>
      </w:r>
      <w:r>
        <w:rPr>
          <w:rFonts w:hint="eastAsia" w:asciiTheme="minorEastAsia" w:hAnsiTheme="minorEastAsia" w:eastAsiaTheme="minorEastAsia"/>
          <w:color w:val="000000" w:themeColor="text1"/>
          <w:sz w:val="28"/>
          <w:szCs w:val="28"/>
          <w:lang w:eastAsia="zh-CN"/>
          <w14:textFill>
            <w14:solidFill>
              <w14:schemeClr w14:val="tx1"/>
            </w14:solidFill>
          </w14:textFill>
        </w:rPr>
        <w:t>转让方</w:t>
      </w:r>
      <w:r>
        <w:rPr>
          <w:rFonts w:hint="eastAsia" w:asciiTheme="minorEastAsia" w:hAnsiTheme="minorEastAsia" w:eastAsiaTheme="minorEastAsia"/>
          <w:color w:val="000000" w:themeColor="text1"/>
          <w:sz w:val="28"/>
          <w:szCs w:val="28"/>
          <w14:textFill>
            <w14:solidFill>
              <w14:schemeClr w14:val="tx1"/>
            </w14:solidFill>
          </w14:textFill>
        </w:rPr>
        <w:t>提供</w:t>
      </w:r>
      <w:r>
        <w:rPr>
          <w:rFonts w:hint="eastAsia" w:asciiTheme="minorEastAsia" w:hAnsiTheme="minorEastAsia" w:eastAsiaTheme="minorEastAsia"/>
          <w:color w:val="000000" w:themeColor="text1"/>
          <w:sz w:val="28"/>
          <w:szCs w:val="28"/>
          <w:lang w:eastAsia="zh-CN"/>
          <w14:textFill>
            <w14:solidFill>
              <w14:schemeClr w14:val="tx1"/>
            </w14:solidFill>
          </w14:textFill>
        </w:rPr>
        <w:t>意向竞买人</w:t>
      </w:r>
      <w:r>
        <w:rPr>
          <w:rFonts w:hint="eastAsia" w:asciiTheme="minorEastAsia" w:hAnsiTheme="minorEastAsia" w:eastAsiaTheme="minorEastAsia"/>
          <w:color w:val="000000" w:themeColor="text1"/>
          <w:sz w:val="28"/>
          <w:szCs w:val="28"/>
          <w14:textFill>
            <w14:solidFill>
              <w14:schemeClr w14:val="tx1"/>
            </w14:solidFill>
          </w14:textFill>
        </w:rPr>
        <w:t>及其受益所有人信息变更情况。</w:t>
      </w:r>
    </w:p>
    <w:p>
      <w:pPr>
        <w:pStyle w:val="10"/>
        <w:widowControl w:val="0"/>
        <w:spacing w:line="560" w:lineRule="exact"/>
        <w:ind w:firstLine="562" w:firstLineChars="200"/>
        <w:rPr>
          <w:rFonts w:hint="eastAsia"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我方已仔细阅读上述风险及瑕疵</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声明</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并对上述风险及瑕疵表示完全知晓并自愿承担由此可能发生的不利法律或其他后果，我方对标的债权的现状和瑕疵等无任何异议。另，上述声明及保证系我方真实意思表示，若我方违反上述声明和保证，则我方自愿承担因此造成的转让方的一切损失。</w:t>
      </w:r>
    </w:p>
    <w:p>
      <w:pPr>
        <w:pStyle w:val="10"/>
        <w:widowControl w:val="0"/>
        <w:spacing w:line="560" w:lineRule="exact"/>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p>
    <w:p>
      <w:pPr>
        <w:pStyle w:val="10"/>
        <w:widowControl w:val="0"/>
        <w:spacing w:line="560" w:lineRule="exact"/>
        <w:ind w:firstLine="2520" w:firstLineChars="9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意向竞买人（公章或自然人签字并按指印）：</w:t>
      </w:r>
    </w:p>
    <w:p>
      <w:pPr>
        <w:pStyle w:val="10"/>
        <w:widowControl w:val="0"/>
        <w:spacing w:line="560" w:lineRule="exact"/>
        <w:ind w:firstLine="560" w:firstLineChars="2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p>
    <w:p>
      <w:pPr>
        <w:pStyle w:val="10"/>
        <w:widowControl w:val="0"/>
        <w:spacing w:line="560" w:lineRule="exact"/>
        <w:ind w:firstLine="2800" w:firstLineChars="10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法定代表人或授权代理人（签字）：</w:t>
      </w:r>
    </w:p>
    <w:p>
      <w:pPr>
        <w:pStyle w:val="10"/>
        <w:widowControl w:val="0"/>
        <w:spacing w:line="560" w:lineRule="exact"/>
        <w:ind w:firstLine="2800" w:firstLineChars="1000"/>
        <w:rPr>
          <w:rFonts w:hint="eastAsia" w:asciiTheme="minorEastAsia" w:hAnsiTheme="minorEastAsia" w:eastAsiaTheme="minorEastAsia"/>
          <w:color w:val="000000" w:themeColor="text1"/>
          <w:sz w:val="28"/>
          <w:szCs w:val="28"/>
          <w:lang w:val="en-US" w:eastAsia="zh-CN"/>
          <w14:textFill>
            <w14:solidFill>
              <w14:schemeClr w14:val="tx1"/>
            </w14:solidFill>
          </w14:textFill>
        </w:rPr>
      </w:pPr>
    </w:p>
    <w:p>
      <w:pPr>
        <w:pStyle w:val="10"/>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3"/>
      <w:suff w:val="nothing"/>
      <w:lvlText w:val="第 %1 条"/>
      <w:lvlJc w:val="left"/>
      <w:pPr>
        <w:tabs>
          <w:tab w:val="left" w:pos="0"/>
        </w:tabs>
        <w:ind w:left="0" w:firstLine="0"/>
      </w:pPr>
      <w:rPr>
        <w:b/>
        <w:i w:val="0"/>
        <w:caps w:val="0"/>
        <w:smallCaps w:val="0"/>
        <w:strike w:val="0"/>
        <w:dstrike w:val="0"/>
        <w:vanish w:val="0"/>
        <w:color w:val="000000"/>
        <w:spacing w:val="20"/>
        <w:w w:val="100"/>
        <w:kern w:val="0"/>
        <w:position w:val="0"/>
        <w:sz w:val="28"/>
        <w:u w:val="none"/>
        <w:vertAlign w:val="baseline"/>
      </w:rPr>
    </w:lvl>
    <w:lvl w:ilvl="1" w:tentative="0">
      <w:start w:val="1"/>
      <w:numFmt w:val="decimal"/>
      <w:isLgl/>
      <w:lvlText w:val="%1.%2"/>
      <w:lvlJc w:val="left"/>
      <w:pPr>
        <w:tabs>
          <w:tab w:val="left" w:pos="1260"/>
        </w:tabs>
        <w:ind w:left="1260" w:firstLine="0"/>
      </w:pPr>
      <w:rPr>
        <w:b/>
        <w:i w:val="0"/>
        <w:caps w:val="0"/>
        <w:smallCaps w:val="0"/>
        <w:strike w:val="0"/>
        <w:dstrike w:val="0"/>
        <w:vanish w:val="0"/>
        <w:color w:val="000000"/>
        <w:spacing w:val="0"/>
        <w:w w:val="100"/>
        <w:kern w:val="0"/>
        <w:position w:val="0"/>
        <w:sz w:val="22"/>
        <w:u w:val="none"/>
        <w:vertAlign w:val="baseline"/>
      </w:rPr>
    </w:lvl>
    <w:lvl w:ilvl="2" w:tentative="0">
      <w:start w:val="1"/>
      <w:numFmt w:val="decimal"/>
      <w:lvlText w:val="%3."/>
      <w:lvlJc w:val="left"/>
      <w:pPr>
        <w:tabs>
          <w:tab w:val="left" w:pos="1800"/>
        </w:tabs>
        <w:ind w:left="1440" w:firstLine="0"/>
      </w:pPr>
    </w:lvl>
    <w:lvl w:ilvl="3" w:tentative="0">
      <w:start w:val="1"/>
      <w:numFmt w:val="lowerLetter"/>
      <w:lvlText w:val="%4)"/>
      <w:lvlJc w:val="left"/>
      <w:pPr>
        <w:tabs>
          <w:tab w:val="left" w:pos="2520"/>
        </w:tabs>
        <w:ind w:left="2160" w:firstLine="0"/>
      </w:pPr>
    </w:lvl>
    <w:lvl w:ilvl="4" w:tentative="0">
      <w:start w:val="1"/>
      <w:numFmt w:val="decimal"/>
      <w:lvlText w:val="(%5)"/>
      <w:lvlJc w:val="left"/>
      <w:pPr>
        <w:tabs>
          <w:tab w:val="left" w:pos="3240"/>
        </w:tabs>
        <w:ind w:left="2880" w:firstLine="0"/>
      </w:pPr>
    </w:lvl>
    <w:lvl w:ilvl="5" w:tentative="0">
      <w:start w:val="1"/>
      <w:numFmt w:val="lowerLetter"/>
      <w:lvlText w:val="(%6)"/>
      <w:lvlJc w:val="left"/>
      <w:pPr>
        <w:tabs>
          <w:tab w:val="left" w:pos="3960"/>
        </w:tabs>
        <w:ind w:left="3600" w:firstLine="0"/>
      </w:pPr>
    </w:lvl>
    <w:lvl w:ilvl="6" w:tentative="0">
      <w:start w:val="1"/>
      <w:numFmt w:val="lowerRoman"/>
      <w:lvlText w:val="(%7)"/>
      <w:lvlJc w:val="left"/>
      <w:pPr>
        <w:tabs>
          <w:tab w:val="left" w:pos="4680"/>
        </w:tabs>
        <w:ind w:left="4320" w:firstLine="0"/>
      </w:pPr>
    </w:lvl>
    <w:lvl w:ilvl="7" w:tentative="0">
      <w:start w:val="1"/>
      <w:numFmt w:val="lowerLetter"/>
      <w:lvlText w:val="(%8)"/>
      <w:lvlJc w:val="left"/>
      <w:pPr>
        <w:tabs>
          <w:tab w:val="left" w:pos="5400"/>
        </w:tabs>
        <w:ind w:left="5040" w:firstLine="0"/>
      </w:pPr>
    </w:lvl>
    <w:lvl w:ilvl="8" w:tentative="0">
      <w:start w:val="1"/>
      <w:numFmt w:val="lowerRoman"/>
      <w:lvlText w:val="(%9)"/>
      <w:lvlJc w:val="left"/>
      <w:pPr>
        <w:tabs>
          <w:tab w:val="left"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mNWFjZjQyMzkzMjM0MjEzY2U2NzY5MzQxOThlZTIifQ=="/>
  </w:docVars>
  <w:rsids>
    <w:rsidRoot w:val="59CD0807"/>
    <w:rsid w:val="0062047C"/>
    <w:rsid w:val="08243F53"/>
    <w:rsid w:val="0981547F"/>
    <w:rsid w:val="0DFA7CA7"/>
    <w:rsid w:val="141C2288"/>
    <w:rsid w:val="19D9054D"/>
    <w:rsid w:val="2071581C"/>
    <w:rsid w:val="26AF7612"/>
    <w:rsid w:val="270363A4"/>
    <w:rsid w:val="2A382A01"/>
    <w:rsid w:val="351158E9"/>
    <w:rsid w:val="36D82E98"/>
    <w:rsid w:val="37215F7E"/>
    <w:rsid w:val="3A00127D"/>
    <w:rsid w:val="4017431F"/>
    <w:rsid w:val="408D2F18"/>
    <w:rsid w:val="451548D5"/>
    <w:rsid w:val="45D31818"/>
    <w:rsid w:val="4BA72ADE"/>
    <w:rsid w:val="4F0D00EA"/>
    <w:rsid w:val="59CD0807"/>
    <w:rsid w:val="5DE4417D"/>
    <w:rsid w:val="64E61CC6"/>
    <w:rsid w:val="66D0463B"/>
    <w:rsid w:val="681D7750"/>
    <w:rsid w:val="6B092C96"/>
    <w:rsid w:val="71867AC9"/>
    <w:rsid w:val="7792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widowControl/>
      <w:numPr>
        <w:ilvl w:val="0"/>
        <w:numId w:val="1"/>
      </w:numPr>
      <w:spacing w:before="120" w:after="120" w:line="360" w:lineRule="auto"/>
      <w:jc w:val="center"/>
      <w:outlineLvl w:val="0"/>
    </w:pPr>
    <w:rPr>
      <w:b/>
      <w:caps/>
      <w:color w:val="0000FF"/>
      <w:kern w:val="36"/>
      <w:sz w:val="22"/>
      <w:szCs w:val="22"/>
      <w:lang w:eastAsia="ko-KR"/>
    </w:rPr>
  </w:style>
  <w:style w:type="character" w:default="1" w:styleId="8">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Indent"/>
    <w:basedOn w:val="1"/>
    <w:next w:val="1"/>
    <w:qFormat/>
    <w:uiPriority w:val="0"/>
    <w:pPr>
      <w:snapToGrid w:val="0"/>
      <w:spacing w:line="300" w:lineRule="auto"/>
      <w:ind w:firstLine="556"/>
    </w:pPr>
    <w:rPr>
      <w:rFonts w:ascii="仿宋_GB2312" w:hAnsi="仿宋_GB2312" w:cs="Times New Roman"/>
      <w:szCs w:val="20"/>
    </w:rPr>
  </w:style>
  <w:style w:type="paragraph" w:styleId="4">
    <w:name w:val="Body Text First Indent"/>
    <w:basedOn w:val="5"/>
    <w:qFormat/>
    <w:uiPriority w:val="0"/>
    <w:pPr>
      <w:widowControl w:val="0"/>
      <w:spacing w:after="120"/>
      <w:ind w:firstLine="420"/>
      <w:jc w:val="both"/>
    </w:pPr>
    <w:rPr>
      <w:rFonts w:ascii="Times New Roman" w:hAnsi="Times New Roman" w:eastAsia="宋体" w:cs="Times New Roman"/>
      <w:color w:val="auto"/>
      <w:kern w:val="2"/>
      <w:sz w:val="21"/>
      <w:szCs w:val="20"/>
      <w:lang w:val="en-US" w:eastAsia="zh-CN" w:bidi="ar-SA"/>
    </w:r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Normal (Justified)"/>
    <w:basedOn w:val="1"/>
    <w:qFormat/>
    <w:uiPriority w:val="0"/>
    <w:pPr>
      <w:widowControl/>
    </w:pPr>
    <w:rPr>
      <w:snapToGrid w:val="0"/>
      <w:kern w:val="28"/>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5300</Words>
  <Characters>5606</Characters>
  <Lines>0</Lines>
  <Paragraphs>0</Paragraphs>
  <TotalTime>1</TotalTime>
  <ScaleCrop>false</ScaleCrop>
  <LinksUpToDate>false</LinksUpToDate>
  <CharactersWithSpaces>5825</CharactersWithSpaces>
  <Application>WPS Office_10.8.2.7058_F1E327BC-269C-435d-A152-05C5408002CA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2021-08-18T03:22:00Z</dcterms:created>
  <dc:creator>姚文杰</dc:creator>
  <cp:lastModifiedBy>谷雨</cp:lastModifiedBy>
  <dcterms:modified xsi:type="dcterms:W3CDTF">2023-05-15T02:10:10Z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y fmtid="{D5CDD505-2E9C-101B-9397-08002B2CF9AE}" pid="3" name="ICV">
    <vt:lpwstr>3545C1F8218E424FA78392138BF95399</vt:lpwstr>
  </property>
</Properties>
</file>