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380" w:lineRule="atLeast"/>
        <w:jc w:val="right"/>
        <w:rPr>
          <w:rFonts w:eastAsia="楷体_GB2312"/>
          <w:color w:val="000000"/>
          <w:sz w:val="24"/>
        </w:rPr>
      </w:pPr>
    </w:p>
    <w:p>
      <w:pPr>
        <w:wordWrap w:val="0"/>
        <w:spacing w:after="240" w:line="380" w:lineRule="atLeast"/>
        <w:jc w:val="right"/>
        <w:rPr>
          <w:rFonts w:hint="eastAsia" w:eastAsia="楷体_GB2312" w:cs="楷体_GB2312"/>
          <w:color w:val="000000"/>
          <w:sz w:val="24"/>
          <w:highlight w:val="none"/>
          <w:lang w:eastAsia="zh-CN"/>
        </w:rPr>
      </w:pPr>
      <w:r>
        <w:rPr>
          <w:rFonts w:hint="eastAsia" w:eastAsia="楷体_GB2312" w:cs="楷体_GB2312"/>
          <w:color w:val="000000"/>
          <w:sz w:val="24"/>
          <w:highlight w:val="none"/>
          <w:lang w:eastAsia="zh-CN"/>
        </w:rPr>
        <w:t>合同编号【</w:t>
      </w:r>
      <w:r>
        <w:rPr>
          <w:rFonts w:hint="eastAsia" w:eastAsia="楷体_GB2312" w:cs="楷体_GB2312"/>
          <w:color w:val="000000"/>
          <w:sz w:val="24"/>
          <w:highlight w:val="none"/>
          <w:u w:val="single"/>
          <w:lang w:val="en-US" w:eastAsia="zh-CN"/>
        </w:rPr>
        <w:t xml:space="preserve">                 </w:t>
      </w:r>
      <w:r>
        <w:rPr>
          <w:rFonts w:hint="eastAsia" w:eastAsia="楷体_GB2312" w:cs="楷体_GB2312"/>
          <w:color w:val="000000"/>
          <w:sz w:val="24"/>
          <w:highlight w:val="none"/>
          <w:lang w:eastAsia="zh-CN"/>
        </w:rPr>
        <w:t>号】</w:t>
      </w:r>
    </w:p>
    <w:p>
      <w:pPr>
        <w:wordWrap w:val="0"/>
        <w:spacing w:after="240" w:line="380" w:lineRule="atLeast"/>
        <w:jc w:val="right"/>
        <w:rPr>
          <w:rFonts w:eastAsia="楷体_GB2312" w:cs="楷体_GB2312"/>
          <w:color w:val="000000"/>
          <w:sz w:val="24"/>
          <w:highlight w:val="none"/>
        </w:rPr>
      </w:pPr>
      <w:r>
        <w:rPr>
          <w:rFonts w:hint="eastAsia" w:eastAsia="楷体_GB2312" w:cs="楷体_GB2312"/>
          <w:color w:val="000000"/>
          <w:sz w:val="24"/>
          <w:highlight w:val="none"/>
        </w:rPr>
        <w:t>资产包编号【</w:t>
      </w:r>
      <w:r>
        <w:rPr>
          <w:rFonts w:hint="eastAsia" w:eastAsia="楷体_GB2312" w:cs="楷体_GB2312"/>
          <w:color w:val="000000"/>
          <w:sz w:val="24"/>
          <w:highlight w:val="none"/>
          <w:u w:val="single"/>
          <w:lang w:val="en-US" w:eastAsia="zh-CN"/>
        </w:rPr>
        <w:t xml:space="preserve">               </w:t>
      </w:r>
      <w:r>
        <w:rPr>
          <w:rFonts w:hint="eastAsia" w:eastAsia="楷体_GB2312" w:cs="楷体_GB2312"/>
          <w:color w:val="000000"/>
          <w:sz w:val="24"/>
          <w:highlight w:val="none"/>
        </w:rPr>
        <w:t>号】</w:t>
      </w:r>
    </w:p>
    <w:p>
      <w:pPr>
        <w:spacing w:line="380" w:lineRule="atLeast"/>
        <w:jc w:val="center"/>
        <w:rPr>
          <w:rFonts w:hint="eastAsia" w:eastAsia="楷体_GB2312" w:cs="楷体_GB2312"/>
          <w:b/>
          <w:bCs/>
          <w:color w:val="000000"/>
          <w:sz w:val="32"/>
          <w:szCs w:val="32"/>
        </w:rPr>
      </w:pPr>
    </w:p>
    <w:p>
      <w:pPr>
        <w:spacing w:line="380" w:lineRule="atLeast"/>
        <w:jc w:val="center"/>
        <w:rPr>
          <w:rFonts w:eastAsia="楷体_GB2312"/>
          <w:b/>
          <w:bCs/>
          <w:color w:val="000000"/>
          <w:sz w:val="32"/>
          <w:szCs w:val="32"/>
        </w:rPr>
      </w:pPr>
      <w:r>
        <w:rPr>
          <w:rFonts w:hint="eastAsia" w:eastAsia="楷体_GB2312" w:cs="楷体_GB2312"/>
          <w:b/>
          <w:bCs/>
          <w:color w:val="000000"/>
          <w:sz w:val="32"/>
          <w:szCs w:val="32"/>
        </w:rPr>
        <w:t>【陆家嘴国际信托有限公司】</w:t>
      </w:r>
    </w:p>
    <w:p>
      <w:pPr>
        <w:spacing w:line="380" w:lineRule="atLeast"/>
        <w:jc w:val="center"/>
        <w:rPr>
          <w:rFonts w:eastAsia="楷体_GB2312"/>
          <w:b/>
          <w:bCs/>
          <w:color w:val="000000"/>
          <w:sz w:val="32"/>
          <w:szCs w:val="32"/>
        </w:rPr>
      </w:pPr>
      <w:r>
        <w:rPr>
          <w:rFonts w:hint="eastAsia" w:eastAsia="楷体_GB2312" w:cs="楷体_GB2312"/>
          <w:b/>
          <w:bCs/>
          <w:color w:val="000000"/>
          <w:sz w:val="32"/>
          <w:szCs w:val="32"/>
        </w:rPr>
        <w:t>与</w:t>
      </w:r>
    </w:p>
    <w:p>
      <w:pPr>
        <w:spacing w:line="380" w:lineRule="atLeast"/>
        <w:jc w:val="center"/>
        <w:rPr>
          <w:rFonts w:eastAsia="楷体_GB2312"/>
          <w:b/>
          <w:bCs/>
          <w:color w:val="000000"/>
          <w:sz w:val="32"/>
          <w:szCs w:val="32"/>
        </w:rPr>
      </w:pPr>
      <w:r>
        <w:rPr>
          <w:rFonts w:hint="eastAsia" w:eastAsia="楷体_GB2312" w:cs="楷体_GB2312"/>
          <w:b/>
          <w:bCs/>
          <w:color w:val="000000"/>
          <w:sz w:val="32"/>
          <w:szCs w:val="32"/>
        </w:rPr>
        <w:t>【</w:t>
      </w:r>
      <w:r>
        <w:rPr>
          <w:rFonts w:hint="eastAsia" w:eastAsia="楷体_GB2312" w:cs="楷体_GB2312"/>
          <w:b/>
          <w:bCs/>
          <w:color w:val="000000"/>
          <w:sz w:val="32"/>
          <w:szCs w:val="32"/>
          <w:u w:val="single"/>
          <w:lang w:val="en-US" w:eastAsia="zh-CN"/>
        </w:rPr>
        <w:t xml:space="preserve">                       </w:t>
      </w:r>
      <w:r>
        <w:rPr>
          <w:rFonts w:hint="eastAsia" w:eastAsia="楷体_GB2312" w:cs="楷体_GB2312"/>
          <w:b/>
          <w:bCs/>
          <w:color w:val="000000"/>
          <w:sz w:val="32"/>
          <w:szCs w:val="32"/>
        </w:rPr>
        <w:t>】</w:t>
      </w:r>
    </w:p>
    <w:p>
      <w:pPr>
        <w:spacing w:before="240" w:line="380" w:lineRule="atLeast"/>
        <w:jc w:val="center"/>
        <w:rPr>
          <w:rFonts w:eastAsia="楷体_GB2312"/>
          <w:b/>
          <w:bCs/>
          <w:color w:val="000000"/>
          <w:sz w:val="36"/>
          <w:szCs w:val="36"/>
        </w:rPr>
      </w:pPr>
    </w:p>
    <w:p>
      <w:pPr>
        <w:spacing w:before="240" w:line="380" w:lineRule="atLeast"/>
        <w:jc w:val="center"/>
        <w:rPr>
          <w:rFonts w:eastAsia="楷体_GB2312"/>
          <w:b/>
          <w:bCs/>
          <w:color w:val="000000"/>
          <w:sz w:val="36"/>
          <w:szCs w:val="36"/>
        </w:rPr>
      </w:pPr>
      <w:r>
        <w:rPr>
          <w:rFonts w:eastAsia="楷体_GB2312"/>
          <w:color w:val="000000"/>
          <w:sz w:val="24"/>
        </w:rPr>
        <w:t>____________________________________________</w:t>
      </w:r>
    </w:p>
    <w:p>
      <w:pPr>
        <w:spacing w:before="240" w:line="380" w:lineRule="atLeast"/>
        <w:jc w:val="center"/>
        <w:rPr>
          <w:rFonts w:eastAsia="楷体_GB2312"/>
          <w:color w:val="000000"/>
          <w:sz w:val="44"/>
          <w:szCs w:val="44"/>
        </w:rPr>
      </w:pPr>
      <w:r>
        <w:rPr>
          <w:rFonts w:hint="eastAsia" w:eastAsia="楷体_GB2312" w:cs="楷体_GB2312"/>
          <w:b/>
          <w:bCs/>
          <w:color w:val="000000"/>
          <w:sz w:val="44"/>
          <w:szCs w:val="44"/>
        </w:rPr>
        <w:t>债权转让合同</w:t>
      </w:r>
    </w:p>
    <w:p>
      <w:pPr>
        <w:spacing w:line="380" w:lineRule="atLeast"/>
        <w:jc w:val="center"/>
        <w:rPr>
          <w:rFonts w:eastAsia="楷体_GB2312"/>
          <w:color w:val="000000"/>
          <w:sz w:val="24"/>
        </w:rPr>
      </w:pPr>
      <w:r>
        <w:rPr>
          <w:rFonts w:eastAsia="楷体_GB2312"/>
          <w:color w:val="000000"/>
          <w:sz w:val="24"/>
        </w:rPr>
        <w:t>_____________________________________________</w:t>
      </w:r>
    </w:p>
    <w:p>
      <w:pPr>
        <w:spacing w:after="240" w:line="380" w:lineRule="atLeast"/>
        <w:rPr>
          <w:rFonts w:eastAsia="楷体_GB2312"/>
          <w:color w:val="000000"/>
          <w:sz w:val="24"/>
        </w:rPr>
      </w:pPr>
    </w:p>
    <w:p>
      <w:pPr>
        <w:tabs>
          <w:tab w:val="left" w:pos="5685"/>
        </w:tabs>
        <w:spacing w:after="240" w:line="380" w:lineRule="atLeast"/>
        <w:rPr>
          <w:rFonts w:eastAsia="楷体_GB2312"/>
          <w:color w:val="000000"/>
          <w:sz w:val="24"/>
        </w:rPr>
      </w:pPr>
      <w:r>
        <w:rPr>
          <w:rFonts w:eastAsia="楷体_GB2312"/>
          <w:color w:val="000000"/>
          <w:sz w:val="24"/>
        </w:rPr>
        <w:tab/>
      </w:r>
    </w:p>
    <w:p>
      <w:pPr>
        <w:tabs>
          <w:tab w:val="left" w:pos="5685"/>
        </w:tabs>
        <w:spacing w:after="240" w:line="380" w:lineRule="atLeast"/>
        <w:rPr>
          <w:rFonts w:eastAsia="楷体_GB2312"/>
          <w:color w:val="000000"/>
          <w:sz w:val="24"/>
        </w:rPr>
      </w:pPr>
    </w:p>
    <w:p>
      <w:pPr>
        <w:tabs>
          <w:tab w:val="left" w:pos="5685"/>
        </w:tabs>
        <w:spacing w:after="240" w:line="380" w:lineRule="atLeast"/>
        <w:rPr>
          <w:rFonts w:eastAsia="楷体_GB2312"/>
          <w:color w:val="000000"/>
          <w:sz w:val="24"/>
        </w:rPr>
      </w:pPr>
    </w:p>
    <w:p>
      <w:pPr>
        <w:tabs>
          <w:tab w:val="left" w:pos="5685"/>
        </w:tabs>
        <w:spacing w:after="240" w:line="380" w:lineRule="atLeast"/>
        <w:rPr>
          <w:rFonts w:eastAsia="楷体_GB2312"/>
          <w:color w:val="000000"/>
          <w:sz w:val="24"/>
        </w:rPr>
      </w:pPr>
    </w:p>
    <w:p>
      <w:pPr>
        <w:tabs>
          <w:tab w:val="left" w:pos="5685"/>
        </w:tabs>
        <w:spacing w:after="240" w:line="380" w:lineRule="atLeast"/>
        <w:rPr>
          <w:rFonts w:eastAsia="楷体_GB2312"/>
          <w:color w:val="000000"/>
          <w:sz w:val="24"/>
        </w:rPr>
      </w:pPr>
    </w:p>
    <w:p>
      <w:pPr>
        <w:spacing w:line="380" w:lineRule="atLeast"/>
        <w:jc w:val="center"/>
        <w:rPr>
          <w:rFonts w:eastAsia="楷体_GB2312"/>
          <w:b/>
          <w:bCs/>
          <w:color w:val="000000"/>
          <w:sz w:val="24"/>
        </w:rPr>
      </w:pPr>
    </w:p>
    <w:p>
      <w:pPr>
        <w:tabs>
          <w:tab w:val="left" w:pos="980"/>
        </w:tabs>
        <w:spacing w:line="380" w:lineRule="atLeast"/>
        <w:jc w:val="center"/>
        <w:rPr>
          <w:rFonts w:eastAsia="楷体_GB2312"/>
          <w:b/>
          <w:bCs/>
          <w:color w:val="000000"/>
          <w:sz w:val="24"/>
        </w:rPr>
      </w:pPr>
      <w:r>
        <w:rPr>
          <w:rFonts w:hint="eastAsia" w:eastAsia="楷体_GB2312" w:cs="楷体_GB2312"/>
          <w:b/>
          <w:bCs/>
          <w:color w:val="000000"/>
          <w:sz w:val="24"/>
        </w:rPr>
        <w:t>【</w:t>
      </w:r>
      <w:r>
        <w:rPr>
          <w:rFonts w:hint="eastAsia" w:eastAsia="楷体_GB2312"/>
          <w:b/>
          <w:bCs/>
          <w:color w:val="000000"/>
          <w:sz w:val="24"/>
        </w:rPr>
        <w:t xml:space="preserve"> </w:t>
      </w:r>
      <w:r>
        <w:rPr>
          <w:rFonts w:hint="eastAsia" w:eastAsia="楷体_GB2312"/>
          <w:b/>
          <w:bCs/>
          <w:color w:val="000000"/>
          <w:sz w:val="24"/>
          <w:u w:val="single"/>
          <w:lang w:val="en-US" w:eastAsia="zh-CN"/>
        </w:rPr>
        <w:t xml:space="preserve">    </w:t>
      </w:r>
      <w:r>
        <w:rPr>
          <w:rFonts w:hint="eastAsia" w:eastAsia="楷体_GB2312"/>
          <w:b/>
          <w:bCs/>
          <w:color w:val="000000"/>
          <w:sz w:val="24"/>
        </w:rPr>
        <w:t xml:space="preserve"> </w:t>
      </w:r>
      <w:r>
        <w:rPr>
          <w:rFonts w:hint="eastAsia" w:eastAsia="楷体_GB2312" w:cs="楷体_GB2312"/>
          <w:b/>
          <w:bCs/>
          <w:color w:val="000000"/>
          <w:sz w:val="24"/>
        </w:rPr>
        <w:t>】年【</w:t>
      </w:r>
      <w:r>
        <w:rPr>
          <w:rFonts w:hint="eastAsia" w:eastAsia="楷体_GB2312"/>
          <w:b/>
          <w:bCs/>
          <w:color w:val="000000"/>
          <w:sz w:val="24"/>
          <w:u w:val="single"/>
          <w:lang w:val="en-US" w:eastAsia="zh-CN"/>
        </w:rPr>
        <w:t xml:space="preserve">  </w:t>
      </w:r>
      <w:r>
        <w:rPr>
          <w:rFonts w:hint="eastAsia" w:eastAsia="楷体_GB2312" w:cs="楷体_GB2312"/>
          <w:b/>
          <w:bCs/>
          <w:color w:val="000000"/>
          <w:sz w:val="24"/>
        </w:rPr>
        <w:t>】月【</w:t>
      </w:r>
      <w:r>
        <w:rPr>
          <w:rFonts w:hint="eastAsia" w:eastAsia="楷体_GB2312" w:cs="楷体_GB2312"/>
          <w:b/>
          <w:bCs/>
          <w:color w:val="000000"/>
          <w:sz w:val="24"/>
          <w:u w:val="single"/>
          <w:lang w:val="en-US" w:eastAsia="zh-CN"/>
        </w:rPr>
        <w:t xml:space="preserve">  </w:t>
      </w:r>
      <w:r>
        <w:rPr>
          <w:rFonts w:hint="eastAsia" w:eastAsia="楷体_GB2312" w:cs="楷体_GB2312"/>
          <w:b/>
          <w:bCs/>
          <w:color w:val="000000"/>
          <w:sz w:val="24"/>
        </w:rPr>
        <w:t>】日</w:t>
      </w:r>
    </w:p>
    <w:p>
      <w:pPr>
        <w:spacing w:line="380" w:lineRule="atLeast"/>
        <w:ind w:firstLine="3110" w:firstLineChars="1481"/>
        <w:rPr>
          <w:rFonts w:eastAsia="楷体_GB2312"/>
          <w:b/>
          <w:bCs/>
          <w:color w:val="000000"/>
          <w:sz w:val="32"/>
          <w:szCs w:val="32"/>
        </w:rPr>
      </w:pPr>
      <w:r>
        <w:rPr>
          <w:rFonts w:eastAsia="楷体_GB2312"/>
          <w:b/>
          <w:bCs/>
          <w:color w:val="000000"/>
          <w:szCs w:val="21"/>
        </w:rPr>
        <w:br w:type="page"/>
      </w:r>
      <w:r>
        <w:rPr>
          <w:rFonts w:hint="eastAsia" w:eastAsia="楷体_GB2312" w:cs="楷体_GB2312"/>
          <w:b/>
          <w:bCs/>
          <w:color w:val="000000"/>
          <w:sz w:val="32"/>
          <w:szCs w:val="32"/>
        </w:rPr>
        <w:t>债权转让合同</w:t>
      </w:r>
    </w:p>
    <w:p>
      <w:pPr>
        <w:spacing w:line="380" w:lineRule="atLeast"/>
        <w:rPr>
          <w:rFonts w:eastAsia="楷体_GB2312"/>
          <w:color w:val="000000"/>
          <w:sz w:val="24"/>
        </w:rPr>
      </w:pPr>
    </w:p>
    <w:p>
      <w:pPr>
        <w:spacing w:line="380" w:lineRule="atLeast"/>
        <w:rPr>
          <w:rFonts w:eastAsia="楷体_GB2312"/>
          <w:color w:val="000000"/>
          <w:sz w:val="24"/>
        </w:rPr>
      </w:pPr>
      <w:r>
        <w:rPr>
          <w:rFonts w:hint="eastAsia" w:eastAsia="楷体_GB2312" w:cs="楷体_GB2312"/>
          <w:color w:val="000000"/>
          <w:sz w:val="24"/>
        </w:rPr>
        <w:t>本合同由以下双方于【</w:t>
      </w:r>
      <w:r>
        <w:rPr>
          <w:rFonts w:hint="eastAsia" w:eastAsia="楷体_GB2312"/>
          <w:color w:val="000000"/>
          <w:sz w:val="24"/>
          <w:u w:val="single"/>
          <w:lang w:val="en-US" w:eastAsia="zh-CN"/>
        </w:rPr>
        <w:t xml:space="preserve">    </w:t>
      </w:r>
      <w:r>
        <w:rPr>
          <w:rFonts w:hint="eastAsia" w:eastAsia="楷体_GB2312" w:cs="楷体_GB2312"/>
          <w:color w:val="000000"/>
          <w:sz w:val="24"/>
        </w:rPr>
        <w:t>】年【</w:t>
      </w:r>
      <w:r>
        <w:rPr>
          <w:rFonts w:hint="eastAsia" w:eastAsia="楷体_GB2312"/>
          <w:color w:val="000000"/>
          <w:sz w:val="24"/>
          <w:u w:val="single"/>
          <w:lang w:val="en-US" w:eastAsia="zh-CN"/>
        </w:rPr>
        <w:t xml:space="preserve">  </w:t>
      </w:r>
      <w:r>
        <w:rPr>
          <w:rFonts w:hint="eastAsia" w:eastAsia="楷体_GB2312" w:cs="楷体_GB2312"/>
          <w:color w:val="000000"/>
          <w:sz w:val="24"/>
        </w:rPr>
        <w:t>】月【</w:t>
      </w:r>
      <w:r>
        <w:rPr>
          <w:rFonts w:hint="eastAsia" w:eastAsia="楷体_GB2312"/>
          <w:color w:val="000000"/>
          <w:sz w:val="24"/>
          <w:u w:val="single"/>
          <w:lang w:val="en-US" w:eastAsia="zh-CN"/>
        </w:rPr>
        <w:t xml:space="preserve">  </w:t>
      </w:r>
      <w:r>
        <w:rPr>
          <w:rFonts w:hint="eastAsia" w:eastAsia="楷体_GB2312" w:cs="楷体_GB2312"/>
          <w:color w:val="000000"/>
          <w:sz w:val="24"/>
        </w:rPr>
        <w:t>】日在中国【青岛】共同签署。</w:t>
      </w:r>
    </w:p>
    <w:p>
      <w:pPr>
        <w:spacing w:line="380" w:lineRule="atLeast"/>
        <w:rPr>
          <w:rFonts w:eastAsia="楷体_GB2312"/>
          <w:color w:val="000000"/>
          <w:sz w:val="24"/>
        </w:rPr>
      </w:pPr>
    </w:p>
    <w:p>
      <w:pPr>
        <w:spacing w:line="380" w:lineRule="atLeast"/>
        <w:rPr>
          <w:rFonts w:eastAsia="楷体_GB2312"/>
          <w:b/>
          <w:bCs/>
          <w:color w:val="000000"/>
          <w:sz w:val="24"/>
        </w:rPr>
      </w:pPr>
      <w:r>
        <w:rPr>
          <w:rFonts w:hint="eastAsia" w:eastAsia="楷体_GB2312" w:cs="楷体_GB2312"/>
          <w:b/>
          <w:bCs/>
          <w:color w:val="000000"/>
          <w:sz w:val="24"/>
        </w:rPr>
        <w:t>甲方：陆家嘴国际信托有限公司</w:t>
      </w:r>
    </w:p>
    <w:p>
      <w:pPr>
        <w:spacing w:line="380" w:lineRule="atLeast"/>
        <w:rPr>
          <w:rFonts w:eastAsia="楷体_GB2312"/>
          <w:color w:val="000000"/>
          <w:sz w:val="24"/>
        </w:rPr>
      </w:pPr>
      <w:r>
        <w:rPr>
          <w:rFonts w:hint="eastAsia" w:eastAsia="楷体_GB2312" w:cs="楷体_GB2312"/>
          <w:color w:val="000000"/>
          <w:sz w:val="24"/>
        </w:rPr>
        <w:t>负责人：黎作强</w:t>
      </w:r>
    </w:p>
    <w:p>
      <w:pPr>
        <w:spacing w:line="380" w:lineRule="atLeast"/>
        <w:rPr>
          <w:rFonts w:eastAsia="楷体_GB2312"/>
          <w:color w:val="000000"/>
          <w:sz w:val="24"/>
        </w:rPr>
      </w:pPr>
      <w:r>
        <w:rPr>
          <w:rFonts w:hint="eastAsia" w:eastAsia="楷体_GB2312" w:cs="楷体_GB2312"/>
          <w:color w:val="000000"/>
          <w:sz w:val="24"/>
        </w:rPr>
        <w:t>地址：山东省青岛市崂山区香港东路195号3号楼青岛上实中心12层</w:t>
      </w:r>
    </w:p>
    <w:p>
      <w:pPr>
        <w:spacing w:line="380" w:lineRule="atLeast"/>
        <w:rPr>
          <w:rFonts w:eastAsia="楷体_GB2312"/>
          <w:color w:val="000000"/>
          <w:sz w:val="24"/>
        </w:rPr>
      </w:pPr>
      <w:r>
        <w:rPr>
          <w:rFonts w:hint="eastAsia" w:eastAsia="楷体_GB2312" w:cs="楷体_GB2312"/>
          <w:color w:val="000000"/>
          <w:sz w:val="24"/>
        </w:rPr>
        <w:t>邮编：266000</w:t>
      </w:r>
    </w:p>
    <w:p>
      <w:pPr>
        <w:spacing w:line="380" w:lineRule="atLeast"/>
        <w:rPr>
          <w:rFonts w:eastAsia="楷体_GB2312"/>
          <w:color w:val="000000"/>
          <w:sz w:val="24"/>
        </w:rPr>
      </w:pPr>
    </w:p>
    <w:p>
      <w:pPr>
        <w:spacing w:line="380" w:lineRule="atLeast"/>
        <w:rPr>
          <w:rFonts w:hint="default" w:eastAsia="楷体_GB2312"/>
          <w:b/>
          <w:bCs/>
          <w:color w:val="000000"/>
          <w:sz w:val="24"/>
          <w:lang w:val="en-US" w:eastAsia="zh-CN"/>
        </w:rPr>
      </w:pPr>
      <w:r>
        <w:rPr>
          <w:rFonts w:hint="eastAsia" w:eastAsia="楷体_GB2312" w:cs="楷体_GB2312"/>
          <w:b/>
          <w:bCs/>
          <w:color w:val="000000"/>
          <w:sz w:val="24"/>
        </w:rPr>
        <w:t>乙方：</w:t>
      </w:r>
      <w:r>
        <w:rPr>
          <w:rFonts w:hint="eastAsia" w:eastAsia="楷体_GB2312" w:cs="楷体_GB2312"/>
          <w:b/>
          <w:bCs/>
          <w:color w:val="000000"/>
          <w:sz w:val="24"/>
          <w:u w:val="single"/>
          <w:lang w:val="en-US" w:eastAsia="zh-CN"/>
        </w:rPr>
        <w:t xml:space="preserve">                         </w:t>
      </w:r>
    </w:p>
    <w:p>
      <w:pPr>
        <w:spacing w:line="380" w:lineRule="atLeast"/>
        <w:rPr>
          <w:rFonts w:hint="default" w:eastAsia="楷体_GB2312"/>
          <w:color w:val="000000"/>
          <w:sz w:val="24"/>
          <w:lang w:val="en-US" w:eastAsia="zh-CN"/>
        </w:rPr>
      </w:pPr>
      <w:r>
        <w:rPr>
          <w:rFonts w:hint="eastAsia" w:eastAsia="楷体_GB2312" w:cs="楷体_GB2312"/>
          <w:color w:val="000000"/>
          <w:sz w:val="24"/>
        </w:rPr>
        <w:t>负责人：</w:t>
      </w:r>
      <w:r>
        <w:rPr>
          <w:rFonts w:hint="eastAsia" w:eastAsia="楷体_GB2312" w:cs="楷体_GB2312"/>
          <w:color w:val="000000"/>
          <w:sz w:val="24"/>
          <w:u w:val="single"/>
          <w:lang w:val="en-US" w:eastAsia="zh-CN"/>
        </w:rPr>
        <w:t xml:space="preserve">    </w:t>
      </w:r>
    </w:p>
    <w:p>
      <w:pPr>
        <w:spacing w:line="380" w:lineRule="atLeast"/>
        <w:rPr>
          <w:rFonts w:hint="default" w:eastAsia="楷体_GB2312"/>
          <w:color w:val="000000"/>
          <w:sz w:val="24"/>
          <w:lang w:val="en-US" w:eastAsia="zh-CN"/>
        </w:rPr>
      </w:pPr>
      <w:r>
        <w:rPr>
          <w:rFonts w:hint="eastAsia" w:eastAsia="楷体_GB2312" w:cs="楷体_GB2312"/>
          <w:color w:val="000000"/>
          <w:sz w:val="24"/>
        </w:rPr>
        <w:t>地址：</w:t>
      </w:r>
      <w:r>
        <w:rPr>
          <w:rFonts w:hint="eastAsia" w:eastAsia="楷体_GB2312"/>
          <w:color w:val="000000"/>
          <w:sz w:val="24"/>
          <w:u w:val="single"/>
          <w:lang w:val="en-US" w:eastAsia="zh-CN"/>
        </w:rPr>
        <w:t xml:space="preserve">                          </w:t>
      </w:r>
    </w:p>
    <w:p>
      <w:pPr>
        <w:spacing w:line="380" w:lineRule="atLeast"/>
        <w:rPr>
          <w:rFonts w:hint="default" w:eastAsia="楷体_GB2312" w:cs="楷体_GB2312"/>
          <w:color w:val="000000"/>
          <w:sz w:val="24"/>
          <w:lang w:val="en-US" w:eastAsia="zh-CN"/>
        </w:rPr>
      </w:pPr>
      <w:r>
        <w:rPr>
          <w:rFonts w:hint="eastAsia" w:eastAsia="楷体_GB2312" w:cs="楷体_GB2312"/>
          <w:color w:val="000000"/>
          <w:sz w:val="24"/>
        </w:rPr>
        <w:t>邮编：</w:t>
      </w:r>
      <w:r>
        <w:rPr>
          <w:rFonts w:hint="eastAsia" w:eastAsia="楷体_GB2312" w:cs="楷体_GB2312"/>
          <w:color w:val="000000"/>
          <w:sz w:val="24"/>
          <w:u w:val="single"/>
          <w:lang w:val="en-US" w:eastAsia="zh-CN"/>
        </w:rPr>
        <w:t xml:space="preserve">     </w:t>
      </w:r>
    </w:p>
    <w:p>
      <w:pPr>
        <w:spacing w:line="380" w:lineRule="atLeast"/>
        <w:rPr>
          <w:rFonts w:eastAsia="楷体_GB2312" w:cs="楷体_GB2312"/>
          <w:color w:val="000000"/>
          <w:sz w:val="24"/>
        </w:rPr>
      </w:pPr>
    </w:p>
    <w:p>
      <w:pPr>
        <w:spacing w:line="380" w:lineRule="atLeast"/>
        <w:rPr>
          <w:rFonts w:eastAsia="楷体_GB2312"/>
          <w:color w:val="000000"/>
          <w:sz w:val="24"/>
        </w:rPr>
      </w:pPr>
      <w:r>
        <w:rPr>
          <w:rFonts w:hint="eastAsia" w:eastAsia="楷体_GB2312" w:cs="楷体_GB2312"/>
          <w:color w:val="000000"/>
          <w:sz w:val="24"/>
        </w:rPr>
        <w:t>上述主体单称“一方”，合称</w:t>
      </w:r>
      <w:r>
        <w:rPr>
          <w:rFonts w:eastAsia="楷体_GB2312"/>
          <w:color w:val="000000"/>
          <w:sz w:val="24"/>
        </w:rPr>
        <w:t>“</w:t>
      </w:r>
      <w:r>
        <w:rPr>
          <w:rFonts w:hint="eastAsia" w:eastAsia="楷体_GB2312" w:cs="楷体_GB2312"/>
          <w:color w:val="000000"/>
          <w:sz w:val="24"/>
        </w:rPr>
        <w:t>双方</w:t>
      </w:r>
      <w:r>
        <w:rPr>
          <w:rFonts w:eastAsia="楷体_GB2312"/>
          <w:color w:val="000000"/>
          <w:sz w:val="24"/>
        </w:rPr>
        <w:t>”</w:t>
      </w:r>
      <w:r>
        <w:rPr>
          <w:rFonts w:hint="eastAsia" w:eastAsia="楷体_GB2312" w:cs="楷体_GB2312"/>
          <w:color w:val="000000"/>
          <w:sz w:val="24"/>
        </w:rPr>
        <w:t>。</w:t>
      </w:r>
    </w:p>
    <w:p>
      <w:pPr>
        <w:spacing w:line="380" w:lineRule="atLeast"/>
        <w:rPr>
          <w:rFonts w:eastAsia="楷体_GB2312"/>
          <w:color w:val="000000"/>
          <w:sz w:val="24"/>
        </w:rPr>
      </w:pPr>
    </w:p>
    <w:p>
      <w:pPr>
        <w:spacing w:line="380" w:lineRule="atLeast"/>
        <w:rPr>
          <w:rFonts w:eastAsia="楷体_GB2312"/>
          <w:b/>
          <w:bCs/>
          <w:color w:val="000000"/>
          <w:sz w:val="24"/>
        </w:rPr>
      </w:pPr>
      <w:r>
        <w:rPr>
          <w:rFonts w:hint="eastAsia" w:eastAsia="楷体_GB2312" w:cs="楷体_GB2312"/>
          <w:b/>
          <w:bCs/>
          <w:color w:val="000000"/>
          <w:sz w:val="24"/>
        </w:rPr>
        <w:t>鉴于：</w:t>
      </w:r>
    </w:p>
    <w:p>
      <w:pPr>
        <w:numPr>
          <w:ilvl w:val="0"/>
          <w:numId w:val="1"/>
        </w:numPr>
        <w:tabs>
          <w:tab w:val="left" w:pos="840"/>
        </w:tabs>
        <w:spacing w:line="380" w:lineRule="atLeast"/>
        <w:rPr>
          <w:rFonts w:eastAsia="楷体_GB2312"/>
          <w:color w:val="000000"/>
          <w:sz w:val="24"/>
        </w:rPr>
      </w:pPr>
      <w:r>
        <w:rPr>
          <w:rFonts w:hint="eastAsia" w:eastAsia="楷体_GB2312" w:cs="楷体_GB2312"/>
          <w:color w:val="000000"/>
          <w:sz w:val="24"/>
        </w:rPr>
        <w:t>甲方为具有中国银行业监督管理委员会颁发的《金融许可证》和工商管理机关颁发的《营业执照》</w:t>
      </w:r>
      <w:r>
        <w:rPr>
          <w:rFonts w:hint="eastAsia" w:eastAsia="楷体_GB2312" w:cs="楷体_GB2312"/>
          <w:color w:val="000000"/>
          <w:sz w:val="24"/>
          <w:lang w:eastAsia="zh-CN"/>
        </w:rPr>
        <w:t>的信托公司</w:t>
      </w:r>
      <w:r>
        <w:rPr>
          <w:rFonts w:hint="eastAsia" w:eastAsia="楷体_GB2312" w:cs="楷体_GB2312"/>
          <w:color w:val="000000"/>
          <w:sz w:val="24"/>
        </w:rPr>
        <w:t>。</w:t>
      </w:r>
    </w:p>
    <w:p>
      <w:pPr>
        <w:tabs>
          <w:tab w:val="left" w:pos="840"/>
        </w:tabs>
        <w:spacing w:line="380" w:lineRule="atLeast"/>
        <w:ind w:left="562"/>
        <w:rPr>
          <w:rFonts w:eastAsia="楷体_GB2312"/>
          <w:color w:val="000000"/>
          <w:sz w:val="24"/>
        </w:rPr>
      </w:pPr>
    </w:p>
    <w:p>
      <w:pPr>
        <w:pStyle w:val="17"/>
        <w:numPr>
          <w:ilvl w:val="0"/>
          <w:numId w:val="1"/>
        </w:numPr>
        <w:ind w:firstLineChars="0"/>
        <w:rPr>
          <w:rFonts w:eastAsia="楷体_GB2312" w:cs="楷体_GB2312"/>
          <w:color w:val="000000"/>
          <w:sz w:val="24"/>
        </w:rPr>
      </w:pPr>
      <w:r>
        <w:rPr>
          <w:rFonts w:hint="eastAsia" w:eastAsia="楷体_GB2312" w:cs="楷体_GB2312"/>
          <w:color w:val="000000"/>
          <w:sz w:val="24"/>
        </w:rPr>
        <w:t>乙方为</w:t>
      </w:r>
      <w:r>
        <w:rPr>
          <w:rFonts w:hint="eastAsia" w:eastAsia="楷体_GB2312" w:cs="楷体_GB2312"/>
          <w:color w:val="000000"/>
          <w:sz w:val="24"/>
          <w:u w:val="single"/>
          <w:lang w:val="en-US" w:eastAsia="zh-CN"/>
        </w:rPr>
        <w:t xml:space="preserve">                 </w:t>
      </w:r>
      <w:r>
        <w:rPr>
          <w:rFonts w:hint="eastAsia" w:eastAsia="楷体_GB2312" w:cs="楷体_GB2312"/>
          <w:color w:val="000000"/>
          <w:sz w:val="24"/>
          <w:u w:val="single"/>
        </w:rPr>
        <w:t>授权</w:t>
      </w:r>
      <w:r>
        <w:rPr>
          <w:rFonts w:eastAsia="楷体_GB2312" w:cs="楷体_GB2312"/>
          <w:color w:val="000000"/>
          <w:sz w:val="24"/>
          <w:u w:val="single"/>
        </w:rPr>
        <w:t>的分支机构，</w:t>
      </w:r>
      <w:r>
        <w:rPr>
          <w:rFonts w:hint="eastAsia" w:eastAsia="楷体_GB2312" w:cs="楷体_GB2312"/>
          <w:color w:val="000000"/>
          <w:sz w:val="24"/>
          <w:u w:val="single"/>
        </w:rPr>
        <w:t>具有中国银行业监督管理委员会颁发的《金融机构经营许可证》和工商管理机关颁发的《营业执照》。</w:t>
      </w:r>
    </w:p>
    <w:p>
      <w:pPr>
        <w:tabs>
          <w:tab w:val="left" w:pos="840"/>
        </w:tabs>
        <w:spacing w:line="380" w:lineRule="atLeast"/>
        <w:ind w:left="836" w:leftChars="227" w:hanging="360" w:hangingChars="150"/>
        <w:rPr>
          <w:rFonts w:eastAsia="楷体_GB2312"/>
          <w:color w:val="000000"/>
          <w:sz w:val="24"/>
        </w:rPr>
      </w:pPr>
    </w:p>
    <w:p>
      <w:pPr>
        <w:numPr>
          <w:ilvl w:val="0"/>
          <w:numId w:val="1"/>
        </w:numPr>
        <w:snapToGrid w:val="0"/>
        <w:spacing w:line="380" w:lineRule="atLeast"/>
        <w:rPr>
          <w:rFonts w:eastAsia="楷体_GB2312"/>
          <w:sz w:val="24"/>
        </w:rPr>
      </w:pPr>
      <w:r>
        <w:rPr>
          <w:rFonts w:hint="eastAsia" w:eastAsia="楷体_GB2312" w:cs="楷体_GB2312"/>
          <w:sz w:val="24"/>
        </w:rPr>
        <w:t>甲方就</w:t>
      </w:r>
      <w:r>
        <w:rPr>
          <w:rFonts w:hint="eastAsia" w:ascii="楷体_GB2312" w:eastAsia="楷体_GB2312" w:cs="楷体_GB2312"/>
          <w:sz w:val="24"/>
        </w:rPr>
        <w:t>截至基准日的</w:t>
      </w:r>
      <w:r>
        <w:rPr>
          <w:rFonts w:hint="eastAsia" w:ascii="楷体_GB2312" w:eastAsia="楷体_GB2312" w:cs="楷体_GB2312"/>
          <w:color w:val="auto"/>
          <w:sz w:val="24"/>
          <w:highlight w:val="none"/>
        </w:rPr>
        <w:t>《债权清单》</w:t>
      </w:r>
      <w:r>
        <w:rPr>
          <w:rFonts w:hint="eastAsia" w:ascii="楷体_GB2312" w:eastAsia="楷体_GB2312" w:cs="楷体_GB2312"/>
          <w:sz w:val="24"/>
        </w:rPr>
        <w:t>（见附件一）</w:t>
      </w:r>
      <w:r>
        <w:rPr>
          <w:rFonts w:hint="eastAsia" w:eastAsia="楷体_GB2312" w:cs="楷体_GB2312"/>
          <w:sz w:val="24"/>
        </w:rPr>
        <w:t>所列示的标的债权向乙方债权转让。</w:t>
      </w:r>
    </w:p>
    <w:p>
      <w:pPr>
        <w:snapToGrid w:val="0"/>
        <w:spacing w:line="380" w:lineRule="atLeast"/>
        <w:rPr>
          <w:rFonts w:eastAsia="楷体_GB2312"/>
          <w:color w:val="000000"/>
          <w:sz w:val="24"/>
        </w:rPr>
      </w:pPr>
    </w:p>
    <w:p>
      <w:pPr>
        <w:snapToGrid w:val="0"/>
        <w:spacing w:line="380" w:lineRule="atLeast"/>
        <w:ind w:left="420" w:firstLine="420"/>
        <w:rPr>
          <w:rFonts w:eastAsia="楷体_GB2312"/>
          <w:color w:val="000000"/>
          <w:sz w:val="24"/>
        </w:rPr>
      </w:pPr>
      <w:r>
        <w:rPr>
          <w:rFonts w:hint="eastAsia" w:eastAsia="楷体_GB2312" w:cs="楷体_GB2312"/>
          <w:color w:val="000000"/>
          <w:sz w:val="24"/>
        </w:rPr>
        <w:t>甲乙双方为进一步确认双方之间就标的债权转让所产生的权利义务关系，在平等自愿、充分友好协商的基础上，签订本合同，以昭信守。</w:t>
      </w:r>
    </w:p>
    <w:p>
      <w:pPr>
        <w:snapToGrid w:val="0"/>
        <w:spacing w:line="380" w:lineRule="atLeast"/>
        <w:rPr>
          <w:rFonts w:eastAsia="楷体_GB2312"/>
          <w:color w:val="000000"/>
          <w:sz w:val="24"/>
        </w:rPr>
      </w:pPr>
    </w:p>
    <w:p>
      <w:pPr>
        <w:numPr>
          <w:ilvl w:val="0"/>
          <w:numId w:val="2"/>
        </w:numPr>
        <w:tabs>
          <w:tab w:val="left" w:pos="980"/>
        </w:tabs>
        <w:spacing w:line="380" w:lineRule="atLeast"/>
        <w:rPr>
          <w:rFonts w:eastAsia="楷体_GB2312"/>
          <w:b/>
          <w:bCs/>
          <w:color w:val="000000"/>
          <w:sz w:val="24"/>
        </w:rPr>
      </w:pPr>
      <w:r>
        <w:rPr>
          <w:rFonts w:hint="eastAsia" w:eastAsia="楷体_GB2312" w:cs="楷体_GB2312"/>
          <w:b/>
          <w:bCs/>
          <w:color w:val="000000"/>
          <w:sz w:val="24"/>
        </w:rPr>
        <w:t>定义</w:t>
      </w:r>
    </w:p>
    <w:p>
      <w:pPr>
        <w:tabs>
          <w:tab w:val="left" w:pos="980"/>
        </w:tabs>
        <w:spacing w:line="380" w:lineRule="atLeast"/>
        <w:ind w:firstLine="360" w:firstLineChars="150"/>
        <w:rPr>
          <w:rFonts w:eastAsia="楷体_GB2312"/>
          <w:color w:val="000000"/>
          <w:sz w:val="24"/>
        </w:rPr>
      </w:pPr>
      <w:r>
        <w:rPr>
          <w:rFonts w:hint="eastAsia" w:eastAsia="楷体_GB2312" w:cs="楷体_GB2312"/>
          <w:color w:val="000000"/>
          <w:sz w:val="24"/>
        </w:rPr>
        <w:t>除非本合同另有规定，下列词语应具有如下特定涵义：</w:t>
      </w:r>
    </w:p>
    <w:p>
      <w:pPr>
        <w:numPr>
          <w:ilvl w:val="1"/>
          <w:numId w:val="2"/>
        </w:numPr>
        <w:snapToGrid w:val="0"/>
        <w:spacing w:line="380" w:lineRule="atLeast"/>
        <w:ind w:right="-87"/>
        <w:rPr>
          <w:rFonts w:eastAsia="楷体_GB2312"/>
          <w:color w:val="000000"/>
          <w:sz w:val="24"/>
        </w:rPr>
      </w:pPr>
      <w:r>
        <w:rPr>
          <w:rFonts w:hint="eastAsia" w:eastAsia="楷体_GB2312" w:cs="楷体_GB2312"/>
          <w:bCs/>
          <w:color w:val="000000"/>
          <w:sz w:val="24"/>
        </w:rPr>
        <w:t>主债权</w:t>
      </w:r>
      <w:r>
        <w:rPr>
          <w:rFonts w:hint="eastAsia" w:eastAsia="楷体_GB2312" w:cs="楷体_GB2312"/>
          <w:color w:val="000000"/>
          <w:sz w:val="24"/>
        </w:rPr>
        <w:t>：指截至基准日，甲方对</w:t>
      </w:r>
      <w:r>
        <w:rPr>
          <w:rFonts w:hint="eastAsia" w:ascii="楷体_GB2312" w:eastAsia="楷体_GB2312" w:cs="楷体_GB2312"/>
          <w:color w:val="auto"/>
          <w:sz w:val="24"/>
          <w:highlight w:val="none"/>
        </w:rPr>
        <w:t>《债权清单》</w:t>
      </w:r>
      <w:r>
        <w:rPr>
          <w:rFonts w:hint="eastAsia" w:eastAsia="楷体_GB2312" w:cs="楷体_GB2312"/>
          <w:color w:val="000000"/>
          <w:sz w:val="24"/>
        </w:rPr>
        <w:t>（附件一）所列示的主债务人享有的并依法可向乙方转让的债权。</w:t>
      </w:r>
      <w:r>
        <w:rPr>
          <w:rFonts w:eastAsia="楷体_GB2312" w:cs="楷体_GB2312"/>
          <w:color w:val="000000"/>
          <w:sz w:val="24"/>
        </w:rPr>
        <w:t xml:space="preserve">  </w:t>
      </w:r>
    </w:p>
    <w:p>
      <w:pPr>
        <w:snapToGrid w:val="0"/>
        <w:spacing w:line="380" w:lineRule="atLeast"/>
        <w:ind w:left="425" w:right="-87"/>
        <w:rPr>
          <w:rFonts w:eastAsia="楷体_GB2312"/>
          <w:color w:val="000000"/>
          <w:sz w:val="24"/>
        </w:rPr>
      </w:pPr>
    </w:p>
    <w:p>
      <w:pPr>
        <w:numPr>
          <w:ilvl w:val="1"/>
          <w:numId w:val="2"/>
        </w:numPr>
        <w:snapToGrid w:val="0"/>
        <w:spacing w:line="380" w:lineRule="atLeast"/>
        <w:ind w:right="-87"/>
        <w:rPr>
          <w:rFonts w:eastAsia="楷体_GB2312"/>
          <w:bCs/>
          <w:color w:val="000000"/>
          <w:sz w:val="24"/>
        </w:rPr>
      </w:pPr>
      <w:r>
        <w:rPr>
          <w:rFonts w:hint="eastAsia" w:eastAsia="楷体_GB2312" w:cs="楷体_GB2312"/>
          <w:bCs/>
          <w:color w:val="000000"/>
          <w:sz w:val="24"/>
        </w:rPr>
        <w:t>从权利：</w:t>
      </w:r>
      <w:r>
        <w:rPr>
          <w:rFonts w:hint="eastAsia" w:eastAsia="楷体_GB2312" w:cs="楷体_GB2312"/>
          <w:color w:val="000000"/>
          <w:sz w:val="24"/>
        </w:rPr>
        <w:t>指与主债权相关的保证债权、抵押权、质权等所有附属权利。</w:t>
      </w:r>
    </w:p>
    <w:p>
      <w:pPr>
        <w:snapToGrid w:val="0"/>
        <w:spacing w:line="380" w:lineRule="atLeast"/>
        <w:ind w:right="-87"/>
        <w:rPr>
          <w:rFonts w:eastAsia="楷体_GB2312"/>
          <w:bCs/>
          <w:color w:val="000000"/>
          <w:sz w:val="24"/>
        </w:rPr>
      </w:pPr>
    </w:p>
    <w:p>
      <w:pPr>
        <w:numPr>
          <w:ilvl w:val="1"/>
          <w:numId w:val="2"/>
        </w:numPr>
        <w:snapToGrid w:val="0"/>
        <w:spacing w:line="380" w:lineRule="atLeast"/>
        <w:ind w:right="-87"/>
        <w:rPr>
          <w:rFonts w:eastAsia="楷体_GB2312"/>
          <w:bCs/>
          <w:color w:val="000000"/>
          <w:sz w:val="24"/>
        </w:rPr>
      </w:pPr>
      <w:bookmarkStart w:id="0" w:name="_Ref128677616"/>
      <w:r>
        <w:rPr>
          <w:rFonts w:hint="eastAsia" w:eastAsia="楷体_GB2312" w:cs="楷体_GB2312"/>
          <w:bCs/>
          <w:color w:val="000000"/>
          <w:sz w:val="24"/>
        </w:rPr>
        <w:t>标的债权</w:t>
      </w:r>
      <w:r>
        <w:rPr>
          <w:rFonts w:hint="eastAsia" w:eastAsia="楷体_GB2312" w:cs="楷体_GB2312"/>
          <w:color w:val="000000"/>
          <w:sz w:val="24"/>
        </w:rPr>
        <w:t>：</w:t>
      </w:r>
      <w:r>
        <w:rPr>
          <w:rFonts w:hint="eastAsia" w:eastAsia="楷体_GB2312" w:cs="楷体_GB2312"/>
          <w:bCs/>
          <w:color w:val="000000"/>
          <w:sz w:val="24"/>
        </w:rPr>
        <w:t>指截至基准日的主债权、从权利以及由此转化的其它相关权益的通称。其他相关权益是指：基准日前，甲方（及其前手）因管理、处置需要可能已与</w:t>
      </w:r>
      <w:r>
        <w:rPr>
          <w:rFonts w:hint="eastAsia" w:ascii="楷体_GB2312" w:eastAsia="楷体_GB2312" w:cs="楷体_GB2312"/>
          <w:color w:val="auto"/>
          <w:sz w:val="24"/>
          <w:highlight w:val="none"/>
        </w:rPr>
        <w:t>《债权清单》</w:t>
      </w:r>
      <w:r>
        <w:rPr>
          <w:rFonts w:hint="eastAsia" w:eastAsia="楷体_GB2312" w:cs="楷体_GB2312"/>
          <w:bCs/>
          <w:color w:val="000000"/>
          <w:sz w:val="24"/>
        </w:rPr>
        <w:t>中部分债务人（包括担保人）达成包括但不限于重组协议、和解协议、抵债协议，或接受法院抵债裁定，而这些协议并未履行完毕或抵债物未完成过户，因此，乙方受让的对该等债务人（包括担保人）的债权，已从原始的贷款合同、担保合同项下的债权，全部或部分转化为前述协议项下或法院生效裁定所对应的权利。</w:t>
      </w:r>
      <w:bookmarkEnd w:id="0"/>
    </w:p>
    <w:p>
      <w:pPr>
        <w:snapToGrid w:val="0"/>
        <w:spacing w:line="380" w:lineRule="atLeast"/>
        <w:ind w:left="992" w:right="-87"/>
        <w:rPr>
          <w:rFonts w:eastAsia="楷体_GB2312"/>
          <w:color w:val="000000"/>
          <w:sz w:val="24"/>
        </w:rPr>
      </w:pPr>
    </w:p>
    <w:p>
      <w:pPr>
        <w:numPr>
          <w:ilvl w:val="1"/>
          <w:numId w:val="2"/>
        </w:numPr>
        <w:snapToGrid w:val="0"/>
        <w:spacing w:line="380" w:lineRule="atLeast"/>
        <w:ind w:right="-87"/>
        <w:rPr>
          <w:rFonts w:eastAsia="楷体_GB2312"/>
          <w:color w:val="000000"/>
          <w:sz w:val="24"/>
        </w:rPr>
      </w:pPr>
      <w:r>
        <w:rPr>
          <w:rFonts w:hint="eastAsia" w:eastAsia="楷体_GB2312" w:cs="楷体_GB2312"/>
          <w:bCs/>
          <w:color w:val="000000"/>
          <w:sz w:val="24"/>
        </w:rPr>
        <w:t>转让价款</w:t>
      </w:r>
      <w:r>
        <w:rPr>
          <w:rFonts w:hint="eastAsia" w:eastAsia="楷体_GB2312" w:cs="楷体_GB2312"/>
          <w:color w:val="000000"/>
          <w:sz w:val="24"/>
        </w:rPr>
        <w:t>：指乙方受让标的债权所应支付的合同价款。</w:t>
      </w:r>
    </w:p>
    <w:p>
      <w:pPr>
        <w:tabs>
          <w:tab w:val="left" w:pos="980"/>
        </w:tabs>
        <w:snapToGrid w:val="0"/>
        <w:spacing w:line="380" w:lineRule="atLeast"/>
        <w:ind w:left="425" w:right="-87"/>
        <w:rPr>
          <w:rFonts w:eastAsia="楷体_GB2312"/>
          <w:color w:val="000000"/>
          <w:sz w:val="24"/>
        </w:rPr>
      </w:pPr>
    </w:p>
    <w:p>
      <w:pPr>
        <w:numPr>
          <w:ilvl w:val="1"/>
          <w:numId w:val="2"/>
        </w:numPr>
        <w:snapToGrid w:val="0"/>
        <w:spacing w:line="380" w:lineRule="atLeast"/>
        <w:ind w:right="-87"/>
        <w:rPr>
          <w:rFonts w:eastAsia="楷体_GB2312"/>
          <w:color w:val="000000"/>
          <w:sz w:val="24"/>
        </w:rPr>
      </w:pPr>
      <w:r>
        <w:rPr>
          <w:rFonts w:hint="eastAsia" w:eastAsia="楷体_GB2312" w:cs="楷体_GB2312"/>
          <w:bCs/>
          <w:color w:val="000000"/>
          <w:sz w:val="24"/>
        </w:rPr>
        <w:t>标的债权文件：指截至</w:t>
      </w:r>
      <w:r>
        <w:rPr>
          <w:rFonts w:hint="eastAsia" w:eastAsia="楷体_GB2312" w:cs="楷体_GB2312"/>
          <w:bCs/>
          <w:color w:val="000000"/>
          <w:sz w:val="24"/>
          <w:lang w:val="en-US" w:eastAsia="zh-CN"/>
        </w:rPr>
        <w:t>通知</w:t>
      </w:r>
      <w:r>
        <w:rPr>
          <w:rFonts w:hint="eastAsia" w:eastAsia="楷体_GB2312" w:cs="楷体_GB2312"/>
          <w:bCs/>
          <w:color w:val="000000"/>
          <w:sz w:val="24"/>
        </w:rPr>
        <w:t>日甲方所持有的与确认和行使标的债权相关的法律文件。包括截至基准日甲方所持有的与标的债权相关的法律文件和甲方所持有的在过渡期和交接期内新产生的与标的债权相关的法律文件。</w:t>
      </w:r>
    </w:p>
    <w:p>
      <w:pPr>
        <w:tabs>
          <w:tab w:val="left" w:pos="980"/>
        </w:tabs>
        <w:snapToGrid w:val="0"/>
        <w:spacing w:line="380" w:lineRule="atLeast"/>
        <w:ind w:left="425" w:right="-87"/>
        <w:rPr>
          <w:rFonts w:eastAsia="楷体_GB2312"/>
          <w:color w:val="000000"/>
          <w:sz w:val="24"/>
        </w:rPr>
      </w:pPr>
    </w:p>
    <w:p>
      <w:pPr>
        <w:numPr>
          <w:ilvl w:val="1"/>
          <w:numId w:val="2"/>
        </w:numPr>
        <w:snapToGrid w:val="0"/>
        <w:spacing w:line="380" w:lineRule="atLeast"/>
        <w:ind w:right="-87"/>
        <w:rPr>
          <w:rFonts w:eastAsia="楷体_GB2312"/>
          <w:color w:val="000000" w:themeColor="text1"/>
          <w:sz w:val="24"/>
          <w14:textFill>
            <w14:solidFill>
              <w14:schemeClr w14:val="tx1"/>
            </w14:solidFill>
          </w14:textFill>
        </w:rPr>
      </w:pPr>
      <w:r>
        <w:rPr>
          <w:rFonts w:hint="eastAsia" w:eastAsia="楷体_GB2312" w:cs="楷体_GB2312"/>
          <w:bCs/>
          <w:color w:val="000000" w:themeColor="text1"/>
          <w:sz w:val="24"/>
          <w14:textFill>
            <w14:solidFill>
              <w14:schemeClr w14:val="tx1"/>
            </w14:solidFill>
          </w14:textFill>
        </w:rPr>
        <w:t>基准日：</w:t>
      </w:r>
      <w:r>
        <w:rPr>
          <w:rFonts w:hint="eastAsia" w:eastAsia="楷体_GB2312" w:cs="楷体_GB2312"/>
          <w:color w:val="000000" w:themeColor="text1"/>
          <w:sz w:val="24"/>
          <w14:textFill>
            <w14:solidFill>
              <w14:schemeClr w14:val="tx1"/>
            </w14:solidFill>
          </w14:textFill>
        </w:rPr>
        <w:t>指甲方确定的计算标的债权账面本金及利息余额的截止日，即【</w:t>
      </w:r>
      <w:r>
        <w:rPr>
          <w:rFonts w:eastAsia="楷体_GB2312"/>
          <w:color w:val="000000" w:themeColor="text1"/>
          <w:sz w:val="24"/>
          <w14:textFill>
            <w14:solidFill>
              <w14:schemeClr w14:val="tx1"/>
            </w14:solidFill>
          </w14:textFill>
        </w:rPr>
        <w:t>202</w:t>
      </w:r>
      <w:r>
        <w:rPr>
          <w:rFonts w:hint="eastAsia" w:eastAsia="楷体_GB2312"/>
          <w:color w:val="000000" w:themeColor="text1"/>
          <w:sz w:val="24"/>
          <w:lang w:val="en-US" w:eastAsia="zh-CN"/>
          <w14:textFill>
            <w14:solidFill>
              <w14:schemeClr w14:val="tx1"/>
            </w14:solidFill>
          </w14:textFill>
        </w:rPr>
        <w:t>3</w:t>
      </w:r>
      <w:r>
        <w:rPr>
          <w:rFonts w:hint="eastAsia" w:eastAsia="楷体_GB2312" w:cs="楷体_GB2312"/>
          <w:color w:val="000000" w:themeColor="text1"/>
          <w:sz w:val="24"/>
          <w14:textFill>
            <w14:solidFill>
              <w14:schemeClr w14:val="tx1"/>
            </w14:solidFill>
          </w14:textFill>
        </w:rPr>
        <w:t>】年【</w:t>
      </w:r>
      <w:r>
        <w:rPr>
          <w:rFonts w:hint="eastAsia" w:eastAsia="楷体_GB2312"/>
          <w:color w:val="000000" w:themeColor="text1"/>
          <w:sz w:val="24"/>
          <w:lang w:val="en-US" w:eastAsia="zh-CN"/>
          <w14:textFill>
            <w14:solidFill>
              <w14:schemeClr w14:val="tx1"/>
            </w14:solidFill>
          </w14:textFill>
        </w:rPr>
        <w:t>7</w:t>
      </w:r>
      <w:r>
        <w:rPr>
          <w:rFonts w:hint="eastAsia" w:eastAsia="楷体_GB2312" w:cs="楷体_GB2312"/>
          <w:color w:val="000000" w:themeColor="text1"/>
          <w:sz w:val="24"/>
          <w14:textFill>
            <w14:solidFill>
              <w14:schemeClr w14:val="tx1"/>
            </w14:solidFill>
          </w14:textFill>
        </w:rPr>
        <w:t>】月【</w:t>
      </w:r>
      <w:r>
        <w:rPr>
          <w:rFonts w:hint="eastAsia" w:eastAsia="楷体_GB2312" w:cs="楷体_GB2312"/>
          <w:color w:val="000000" w:themeColor="text1"/>
          <w:sz w:val="24"/>
          <w:lang w:val="en-US" w:eastAsia="zh-CN"/>
          <w14:textFill>
            <w14:solidFill>
              <w14:schemeClr w14:val="tx1"/>
            </w14:solidFill>
          </w14:textFill>
        </w:rPr>
        <w:t>11</w:t>
      </w:r>
      <w:r>
        <w:rPr>
          <w:rFonts w:hint="eastAsia" w:eastAsia="楷体_GB2312" w:cs="楷体_GB2312"/>
          <w:color w:val="000000" w:themeColor="text1"/>
          <w:sz w:val="24"/>
          <w14:textFill>
            <w14:solidFill>
              <w14:schemeClr w14:val="tx1"/>
            </w14:solidFill>
          </w14:textFill>
        </w:rPr>
        <w:t>】日。</w:t>
      </w:r>
    </w:p>
    <w:p>
      <w:pPr>
        <w:snapToGrid w:val="0"/>
        <w:spacing w:line="380" w:lineRule="atLeast"/>
        <w:ind w:right="-87"/>
        <w:rPr>
          <w:rFonts w:eastAsia="楷体_GB2312"/>
          <w:color w:val="000000"/>
          <w:sz w:val="24"/>
        </w:rPr>
      </w:pPr>
    </w:p>
    <w:p>
      <w:pPr>
        <w:numPr>
          <w:ilvl w:val="1"/>
          <w:numId w:val="2"/>
        </w:numPr>
        <w:snapToGrid w:val="0"/>
        <w:spacing w:line="380" w:lineRule="atLeast"/>
        <w:ind w:right="-87"/>
        <w:rPr>
          <w:rFonts w:eastAsia="楷体_GB2312"/>
          <w:bCs/>
          <w:color w:val="000000"/>
          <w:sz w:val="24"/>
        </w:rPr>
      </w:pPr>
      <w:r>
        <w:rPr>
          <w:rFonts w:hint="eastAsia" w:eastAsia="楷体_GB2312" w:cs="楷体_GB2312"/>
          <w:bCs/>
          <w:color w:val="000000"/>
          <w:sz w:val="24"/>
        </w:rPr>
        <w:t>权利转移日：指乙方按照本合同的约定支付完毕全部转让价款之日。</w:t>
      </w:r>
    </w:p>
    <w:p>
      <w:pPr>
        <w:snapToGrid w:val="0"/>
        <w:spacing w:line="380" w:lineRule="atLeast"/>
        <w:ind w:right="-87"/>
        <w:rPr>
          <w:rFonts w:eastAsia="楷体_GB2312"/>
          <w:bCs/>
          <w:color w:val="000000"/>
          <w:sz w:val="24"/>
        </w:rPr>
      </w:pPr>
    </w:p>
    <w:p>
      <w:pPr>
        <w:numPr>
          <w:ilvl w:val="1"/>
          <w:numId w:val="2"/>
        </w:numPr>
        <w:snapToGrid w:val="0"/>
        <w:spacing w:line="380" w:lineRule="atLeast"/>
        <w:ind w:right="-87"/>
        <w:rPr>
          <w:rFonts w:eastAsia="楷体_GB2312"/>
          <w:bCs/>
          <w:color w:val="000000"/>
          <w:sz w:val="24"/>
          <w:highlight w:val="none"/>
        </w:rPr>
      </w:pPr>
      <w:r>
        <w:rPr>
          <w:rFonts w:hint="eastAsia" w:eastAsia="楷体_GB2312" w:cs="楷体_GB2312"/>
          <w:bCs/>
          <w:color w:val="000000"/>
          <w:sz w:val="24"/>
          <w:highlight w:val="none"/>
          <w:lang w:eastAsia="zh-CN"/>
        </w:rPr>
        <w:t>通知</w:t>
      </w:r>
      <w:r>
        <w:rPr>
          <w:rFonts w:hint="eastAsia" w:eastAsia="楷体_GB2312" w:cs="楷体_GB2312"/>
          <w:bCs/>
          <w:color w:val="000000"/>
          <w:sz w:val="24"/>
          <w:highlight w:val="none"/>
        </w:rPr>
        <w:t>日：指在乙方支付完毕全部转让价款的前提下，就本合同项下的标的债权整体转让事宜，甲、乙双方向债务人及担保人发出通知之日。</w:t>
      </w:r>
    </w:p>
    <w:p>
      <w:pPr>
        <w:snapToGrid w:val="0"/>
        <w:spacing w:line="380" w:lineRule="atLeast"/>
        <w:ind w:right="-87"/>
        <w:rPr>
          <w:rFonts w:eastAsia="楷体_GB2312"/>
          <w:bCs/>
          <w:color w:val="000000"/>
          <w:sz w:val="24"/>
        </w:rPr>
      </w:pPr>
    </w:p>
    <w:p>
      <w:pPr>
        <w:numPr>
          <w:ilvl w:val="1"/>
          <w:numId w:val="2"/>
        </w:numPr>
        <w:snapToGrid w:val="0"/>
        <w:spacing w:line="380" w:lineRule="atLeast"/>
        <w:ind w:right="-87"/>
        <w:rPr>
          <w:rFonts w:eastAsia="楷体_GB2312"/>
          <w:bCs/>
          <w:color w:val="000000"/>
          <w:sz w:val="24"/>
        </w:rPr>
      </w:pPr>
      <w:r>
        <w:rPr>
          <w:rFonts w:hint="eastAsia" w:eastAsia="楷体_GB2312" w:cs="楷体_GB2312"/>
          <w:bCs/>
          <w:color w:val="000000"/>
          <w:sz w:val="24"/>
        </w:rPr>
        <w:t>过渡期：</w:t>
      </w:r>
      <w:r>
        <w:rPr>
          <w:rFonts w:hint="eastAsia" w:eastAsia="楷体_GB2312" w:cs="楷体_GB2312"/>
          <w:bCs/>
          <w:color w:val="auto"/>
          <w:sz w:val="24"/>
        </w:rPr>
        <w:t>指自</w:t>
      </w:r>
      <w:r>
        <w:rPr>
          <w:rFonts w:hint="eastAsia" w:eastAsia="楷体_GB2312" w:cs="楷体_GB2312"/>
          <w:bCs/>
          <w:color w:val="auto"/>
          <w:sz w:val="24"/>
          <w:lang w:eastAsia="zh-CN"/>
        </w:rPr>
        <w:t>基准日</w:t>
      </w:r>
      <w:r>
        <w:rPr>
          <w:rFonts w:hint="eastAsia" w:eastAsia="楷体_GB2312" w:cs="楷体_GB2312"/>
          <w:bCs/>
          <w:color w:val="auto"/>
          <w:sz w:val="24"/>
        </w:rPr>
        <w:t>起至权利转移日止的期间。</w:t>
      </w:r>
    </w:p>
    <w:p>
      <w:pPr>
        <w:snapToGrid w:val="0"/>
        <w:spacing w:line="380" w:lineRule="atLeast"/>
        <w:ind w:right="-87"/>
        <w:rPr>
          <w:rFonts w:eastAsia="楷体_GB2312"/>
          <w:bCs/>
          <w:color w:val="000000"/>
          <w:sz w:val="24"/>
        </w:rPr>
      </w:pPr>
    </w:p>
    <w:p>
      <w:pPr>
        <w:numPr>
          <w:ilvl w:val="1"/>
          <w:numId w:val="2"/>
        </w:numPr>
        <w:snapToGrid w:val="0"/>
        <w:spacing w:line="380" w:lineRule="atLeast"/>
        <w:ind w:right="-87"/>
        <w:rPr>
          <w:rFonts w:eastAsia="楷体_GB2312"/>
          <w:bCs/>
          <w:color w:val="000000"/>
          <w:sz w:val="24"/>
        </w:rPr>
      </w:pPr>
      <w:r>
        <w:rPr>
          <w:rFonts w:hint="eastAsia" w:eastAsia="楷体_GB2312" w:cs="楷体_GB2312"/>
          <w:bCs/>
          <w:color w:val="000000"/>
          <w:sz w:val="24"/>
        </w:rPr>
        <w:t>交接期间：指自权利转移日次日至</w:t>
      </w:r>
      <w:r>
        <w:rPr>
          <w:rFonts w:hint="eastAsia" w:eastAsia="楷体_GB2312" w:cs="楷体_GB2312"/>
          <w:bCs/>
          <w:color w:val="000000"/>
          <w:sz w:val="24"/>
          <w:lang w:eastAsia="zh-CN"/>
        </w:rPr>
        <w:t>通知</w:t>
      </w:r>
      <w:r>
        <w:rPr>
          <w:rFonts w:hint="eastAsia" w:eastAsia="楷体_GB2312" w:cs="楷体_GB2312"/>
          <w:bCs/>
          <w:color w:val="000000"/>
          <w:sz w:val="24"/>
        </w:rPr>
        <w:t>日（含本日）的期间。</w:t>
      </w:r>
    </w:p>
    <w:p>
      <w:pPr>
        <w:snapToGrid w:val="0"/>
        <w:spacing w:line="380" w:lineRule="atLeast"/>
        <w:ind w:right="-87"/>
        <w:rPr>
          <w:rFonts w:eastAsia="楷体_GB2312"/>
          <w:bCs/>
          <w:color w:val="000000"/>
          <w:sz w:val="24"/>
        </w:rPr>
      </w:pPr>
    </w:p>
    <w:p>
      <w:pPr>
        <w:numPr>
          <w:ilvl w:val="1"/>
          <w:numId w:val="2"/>
        </w:numPr>
        <w:snapToGrid w:val="0"/>
        <w:spacing w:line="380" w:lineRule="atLeast"/>
        <w:ind w:right="-87"/>
        <w:rPr>
          <w:rFonts w:eastAsia="楷体_GB2312"/>
          <w:color w:val="000000"/>
          <w:sz w:val="24"/>
        </w:rPr>
      </w:pPr>
      <w:r>
        <w:rPr>
          <w:rFonts w:hint="eastAsia" w:eastAsia="楷体_GB2312" w:cs="楷体_GB2312"/>
          <w:bCs/>
          <w:color w:val="000000"/>
          <w:sz w:val="24"/>
        </w:rPr>
        <w:t>法定期间</w:t>
      </w:r>
      <w:r>
        <w:rPr>
          <w:rFonts w:hint="eastAsia" w:eastAsia="楷体_GB2312" w:cs="楷体_GB2312"/>
          <w:color w:val="000000"/>
          <w:sz w:val="24"/>
        </w:rPr>
        <w:t>：指法律、法规规定的各种期间，包括但不限于上诉期、申诉期、申请执行期间、保证期间、破产债权申报期间。</w:t>
      </w:r>
    </w:p>
    <w:p>
      <w:pPr>
        <w:snapToGrid w:val="0"/>
        <w:spacing w:line="380" w:lineRule="atLeast"/>
        <w:ind w:right="-87"/>
        <w:rPr>
          <w:rFonts w:eastAsia="楷体_GB2312"/>
          <w:color w:val="000000"/>
          <w:sz w:val="24"/>
        </w:rPr>
      </w:pPr>
    </w:p>
    <w:p>
      <w:pPr>
        <w:numPr>
          <w:ilvl w:val="0"/>
          <w:numId w:val="2"/>
        </w:numPr>
        <w:tabs>
          <w:tab w:val="left" w:pos="1260"/>
        </w:tabs>
        <w:snapToGrid w:val="0"/>
        <w:spacing w:line="380" w:lineRule="atLeast"/>
        <w:ind w:right="-87"/>
        <w:rPr>
          <w:rFonts w:eastAsia="楷体_GB2312"/>
          <w:b/>
          <w:bCs/>
          <w:color w:val="000000"/>
          <w:sz w:val="24"/>
        </w:rPr>
      </w:pPr>
      <w:bookmarkStart w:id="1" w:name="_Ref128677602"/>
      <w:r>
        <w:rPr>
          <w:rFonts w:hint="eastAsia" w:eastAsia="楷体_GB2312" w:cs="楷体_GB2312"/>
          <w:b/>
          <w:bCs/>
          <w:color w:val="000000"/>
          <w:sz w:val="24"/>
        </w:rPr>
        <w:t>标的债权</w:t>
      </w:r>
      <w:bookmarkEnd w:id="1"/>
    </w:p>
    <w:p>
      <w:pPr>
        <w:rPr>
          <w:rFonts w:hint="eastAsia" w:eastAsia="楷体_GB2312" w:cs="楷体_GB2312"/>
          <w:color w:val="000000"/>
          <w:sz w:val="24"/>
          <w:lang w:eastAsia="zh-CN"/>
        </w:rPr>
      </w:pPr>
      <w:r>
        <w:rPr>
          <w:rFonts w:hint="eastAsia" w:eastAsia="楷体_GB2312" w:cs="楷体_GB2312"/>
          <w:color w:val="000000"/>
          <w:sz w:val="24"/>
        </w:rPr>
        <w:t>截至基准日，标的债权的账面本金余额为全折人民币肆亿捌仟肆佰贰拾贰万捌仟元（小写：484228000元），利息为全折人民币叁仟贰佰陆拾捌万叁仟壹佰叁拾柒元叁角伍分（小写：32683137.35元），诉讼费、保全费、律师费等法律追索费用合计人民币叁佰叁拾万零陆仟零肆拾陆元（小写：3306046元）。债权合计为全折人民币伍亿贰仟零贰拾壹</w:t>
      </w:r>
      <w:bookmarkStart w:id="11" w:name="_GoBack"/>
      <w:bookmarkEnd w:id="11"/>
      <w:r>
        <w:rPr>
          <w:rFonts w:hint="eastAsia" w:eastAsia="楷体_GB2312" w:cs="楷体_GB2312"/>
          <w:color w:val="000000"/>
          <w:sz w:val="24"/>
        </w:rPr>
        <w:t>万柒仟壹佰捌拾叁元叁角伍分（小写：520217183.35元）。</w:t>
      </w:r>
    </w:p>
    <w:p>
      <w:pPr>
        <w:tabs>
          <w:tab w:val="left" w:pos="1260"/>
        </w:tabs>
        <w:snapToGrid w:val="0"/>
        <w:spacing w:line="380" w:lineRule="atLeast"/>
        <w:ind w:left="425" w:right="-87" w:firstLine="480" w:firstLineChars="200"/>
        <w:rPr>
          <w:rFonts w:eastAsia="楷体_GB2312" w:cs="楷体_GB2312"/>
          <w:color w:val="000000"/>
          <w:sz w:val="24"/>
        </w:rPr>
      </w:pPr>
      <w:r>
        <w:rPr>
          <w:rFonts w:hint="eastAsia" w:eastAsia="楷体_GB2312" w:cs="楷体_GB2312"/>
          <w:color w:val="000000"/>
          <w:sz w:val="24"/>
        </w:rPr>
        <w:t>标的债权的帐面余额详见本合同附件一。</w:t>
      </w:r>
    </w:p>
    <w:p>
      <w:pPr>
        <w:tabs>
          <w:tab w:val="left" w:pos="1260"/>
        </w:tabs>
        <w:snapToGrid w:val="0"/>
        <w:spacing w:line="380" w:lineRule="atLeast"/>
        <w:ind w:right="-87"/>
        <w:rPr>
          <w:rFonts w:eastAsia="楷体_GB2312"/>
          <w:b/>
          <w:bCs/>
          <w:color w:val="000000"/>
          <w:sz w:val="24"/>
        </w:rPr>
      </w:pPr>
    </w:p>
    <w:p>
      <w:pPr>
        <w:numPr>
          <w:ilvl w:val="0"/>
          <w:numId w:val="2"/>
        </w:numPr>
        <w:tabs>
          <w:tab w:val="left" w:pos="1260"/>
        </w:tabs>
        <w:snapToGrid w:val="0"/>
        <w:spacing w:line="380" w:lineRule="atLeast"/>
        <w:ind w:right="-87"/>
        <w:rPr>
          <w:rFonts w:eastAsia="楷体_GB2312"/>
          <w:b/>
          <w:bCs/>
          <w:color w:val="000000"/>
          <w:sz w:val="24"/>
        </w:rPr>
      </w:pPr>
      <w:bookmarkStart w:id="2" w:name="_Ref118447365"/>
      <w:r>
        <w:rPr>
          <w:rFonts w:hint="eastAsia" w:eastAsia="楷体_GB2312" w:cs="楷体_GB2312"/>
          <w:b/>
          <w:bCs/>
          <w:color w:val="000000"/>
          <w:sz w:val="24"/>
        </w:rPr>
        <w:t>标的债权的转让</w:t>
      </w:r>
    </w:p>
    <w:p>
      <w:pPr>
        <w:tabs>
          <w:tab w:val="left" w:pos="1260"/>
        </w:tabs>
        <w:snapToGrid w:val="0"/>
        <w:spacing w:line="380" w:lineRule="atLeast"/>
        <w:ind w:left="420" w:right="-87" w:firstLine="480" w:firstLineChars="200"/>
        <w:rPr>
          <w:rFonts w:hint="eastAsia" w:eastAsia="楷体_GB2312" w:cs="楷体_GB2312"/>
          <w:color w:val="000000"/>
          <w:sz w:val="24"/>
        </w:rPr>
      </w:pPr>
      <w:r>
        <w:rPr>
          <w:rFonts w:hint="eastAsia" w:eastAsia="楷体_GB2312" w:cs="楷体_GB2312"/>
          <w:color w:val="000000"/>
          <w:sz w:val="24"/>
        </w:rPr>
        <w:t>甲方同意按照本合同的约定，向乙方转让标的债权；乙方同意按照本合同的约定，受让标的债权。</w:t>
      </w:r>
    </w:p>
    <w:p>
      <w:pPr>
        <w:tabs>
          <w:tab w:val="left" w:pos="1260"/>
        </w:tabs>
        <w:snapToGrid w:val="0"/>
        <w:spacing w:line="380" w:lineRule="atLeast"/>
        <w:ind w:left="420" w:right="-87" w:firstLine="480" w:firstLineChars="200"/>
        <w:rPr>
          <w:rFonts w:eastAsia="楷体_GB2312" w:cs="楷体_GB2312"/>
          <w:color w:val="auto"/>
          <w:sz w:val="24"/>
        </w:rPr>
      </w:pPr>
      <w:r>
        <w:rPr>
          <w:rFonts w:hint="eastAsia" w:eastAsia="楷体_GB2312" w:cs="楷体_GB2312"/>
          <w:color w:val="auto"/>
          <w:sz w:val="24"/>
        </w:rPr>
        <w:t>双方同意转让方对上述转让行为不承担回购责任。</w:t>
      </w:r>
    </w:p>
    <w:p>
      <w:pPr>
        <w:tabs>
          <w:tab w:val="left" w:pos="1260"/>
        </w:tabs>
        <w:snapToGrid w:val="0"/>
        <w:spacing w:line="380" w:lineRule="atLeast"/>
        <w:ind w:left="420" w:right="-87"/>
        <w:rPr>
          <w:rFonts w:eastAsia="楷体_GB2312"/>
          <w:color w:val="000000"/>
          <w:sz w:val="24"/>
        </w:rPr>
      </w:pPr>
    </w:p>
    <w:p>
      <w:pPr>
        <w:numPr>
          <w:ilvl w:val="0"/>
          <w:numId w:val="2"/>
        </w:numPr>
        <w:tabs>
          <w:tab w:val="left" w:pos="1260"/>
        </w:tabs>
        <w:snapToGrid w:val="0"/>
        <w:spacing w:line="380" w:lineRule="atLeast"/>
        <w:ind w:right="-87"/>
        <w:rPr>
          <w:rFonts w:eastAsia="楷体_GB2312"/>
          <w:b/>
          <w:bCs/>
          <w:color w:val="000000"/>
          <w:sz w:val="24"/>
        </w:rPr>
      </w:pPr>
      <w:r>
        <w:rPr>
          <w:rFonts w:hint="eastAsia" w:eastAsia="楷体_GB2312" w:cs="楷体_GB2312"/>
          <w:b/>
          <w:bCs/>
          <w:color w:val="000000"/>
          <w:sz w:val="24"/>
        </w:rPr>
        <w:t>转让价款及支付方式</w:t>
      </w:r>
      <w:bookmarkEnd w:id="2"/>
    </w:p>
    <w:p>
      <w:pPr>
        <w:numPr>
          <w:ilvl w:val="1"/>
          <w:numId w:val="2"/>
        </w:numPr>
        <w:spacing w:line="380" w:lineRule="atLeast"/>
        <w:rPr>
          <w:rFonts w:eastAsia="楷体_GB2312"/>
          <w:color w:val="000000"/>
          <w:sz w:val="24"/>
        </w:rPr>
      </w:pPr>
      <w:bookmarkStart w:id="3" w:name="_Ref120340560"/>
      <w:r>
        <w:rPr>
          <w:rFonts w:hint="eastAsia" w:eastAsia="楷体_GB2312" w:cs="楷体_GB2312"/>
          <w:color w:val="000000"/>
          <w:sz w:val="24"/>
        </w:rPr>
        <w:t>转让价款</w:t>
      </w:r>
      <w:bookmarkEnd w:id="3"/>
    </w:p>
    <w:p>
      <w:pPr>
        <w:spacing w:line="380" w:lineRule="atLeast"/>
        <w:ind w:left="851"/>
        <w:rPr>
          <w:rFonts w:eastAsia="楷体_GB2312"/>
          <w:color w:val="000000"/>
          <w:sz w:val="24"/>
        </w:rPr>
      </w:pPr>
      <w:r>
        <w:rPr>
          <w:rFonts w:hint="eastAsia" w:eastAsia="楷体_GB2312" w:cs="楷体_GB2312"/>
          <w:color w:val="000000"/>
          <w:sz w:val="24"/>
        </w:rPr>
        <w:t>乙方以人民币</w:t>
      </w:r>
      <w:r>
        <w:rPr>
          <w:rFonts w:hint="eastAsia" w:eastAsia="楷体_GB2312" w:cs="楷体_GB2312"/>
          <w:color w:val="000000"/>
          <w:sz w:val="24"/>
          <w:u w:val="single"/>
          <w:lang w:val="en-US" w:eastAsia="zh-CN"/>
        </w:rPr>
        <w:t xml:space="preserve">          </w:t>
      </w:r>
      <w:r>
        <w:rPr>
          <w:rFonts w:hint="eastAsia" w:eastAsia="楷体_GB2312" w:cs="楷体_GB2312"/>
          <w:color w:val="000000"/>
          <w:sz w:val="24"/>
        </w:rPr>
        <w:t>元整（小写：</w:t>
      </w:r>
      <w:r>
        <w:rPr>
          <w:rFonts w:hint="eastAsia" w:eastAsia="楷体_GB2312"/>
          <w:color w:val="000000"/>
          <w:sz w:val="24"/>
          <w:u w:val="single"/>
          <w:lang w:val="en-US" w:eastAsia="zh-CN"/>
        </w:rPr>
        <w:t xml:space="preserve">         </w:t>
      </w:r>
      <w:r>
        <w:rPr>
          <w:rFonts w:hint="eastAsia" w:eastAsia="楷体_GB2312" w:cs="楷体_GB2312"/>
          <w:color w:val="000000"/>
          <w:sz w:val="24"/>
        </w:rPr>
        <w:t>元）作为购买标的债权的转让价款。</w:t>
      </w:r>
    </w:p>
    <w:p>
      <w:pPr>
        <w:spacing w:line="380" w:lineRule="atLeast"/>
        <w:rPr>
          <w:rFonts w:eastAsia="楷体_GB2312"/>
          <w:color w:val="000000"/>
          <w:sz w:val="24"/>
        </w:rPr>
      </w:pPr>
    </w:p>
    <w:p>
      <w:pPr>
        <w:numPr>
          <w:ilvl w:val="1"/>
          <w:numId w:val="2"/>
        </w:numPr>
        <w:spacing w:line="380" w:lineRule="atLeast"/>
        <w:rPr>
          <w:rFonts w:eastAsia="楷体_GB2312"/>
          <w:color w:val="000000"/>
          <w:sz w:val="24"/>
        </w:rPr>
      </w:pPr>
      <w:bookmarkStart w:id="4" w:name="_Ref128676636"/>
      <w:r>
        <w:rPr>
          <w:rFonts w:hint="eastAsia" w:eastAsia="楷体_GB2312" w:cs="楷体_GB2312"/>
          <w:color w:val="000000"/>
          <w:sz w:val="24"/>
        </w:rPr>
        <w:t>转让价款的支付方式</w:t>
      </w:r>
      <w:bookmarkEnd w:id="4"/>
    </w:p>
    <w:p>
      <w:pPr>
        <w:spacing w:line="380" w:lineRule="atLeast"/>
        <w:ind w:left="992"/>
        <w:rPr>
          <w:rFonts w:eastAsia="楷体_GB2312"/>
          <w:color w:val="000000"/>
          <w:sz w:val="24"/>
        </w:rPr>
      </w:pPr>
      <w:r>
        <w:rPr>
          <w:rFonts w:hint="eastAsia" w:eastAsia="楷体_GB2312" w:cs="楷体_GB2312"/>
          <w:color w:val="000000"/>
          <w:sz w:val="24"/>
        </w:rPr>
        <w:t>乙方同意在本协议签订之日起【</w:t>
      </w:r>
      <w:r>
        <w:rPr>
          <w:rFonts w:hint="eastAsia" w:eastAsia="楷体_GB2312" w:cs="楷体_GB2312"/>
          <w:color w:val="000000"/>
          <w:sz w:val="24"/>
          <w:u w:val="single"/>
          <w:lang w:val="en-US" w:eastAsia="zh-CN"/>
        </w:rPr>
        <w:t xml:space="preserve">  </w:t>
      </w:r>
      <w:r>
        <w:rPr>
          <w:rFonts w:hint="eastAsia" w:eastAsia="楷体_GB2312" w:cs="楷体_GB2312"/>
          <w:color w:val="000000"/>
          <w:sz w:val="24"/>
        </w:rPr>
        <w:t>】个工作日内，一次性向甲方支付标的债权的转让价款。甲方指定的账户如下：</w:t>
      </w:r>
    </w:p>
    <w:p>
      <w:pPr>
        <w:spacing w:line="380" w:lineRule="atLeast"/>
        <w:ind w:left="992"/>
        <w:rPr>
          <w:rFonts w:eastAsia="楷体_GB2312"/>
          <w:color w:val="000000"/>
          <w:sz w:val="24"/>
        </w:rPr>
      </w:pPr>
      <w:r>
        <w:rPr>
          <w:rFonts w:hint="eastAsia" w:eastAsia="楷体_GB2312" w:cs="楷体_GB2312"/>
          <w:color w:val="000000"/>
          <w:sz w:val="24"/>
        </w:rPr>
        <w:t>账户名称：陆家嘴国际信托有限公司信托财产专户</w:t>
      </w:r>
    </w:p>
    <w:p>
      <w:pPr>
        <w:spacing w:line="380" w:lineRule="atLeast"/>
        <w:ind w:left="992"/>
        <w:rPr>
          <w:rFonts w:eastAsia="楷体_GB2312"/>
          <w:color w:val="000000"/>
          <w:sz w:val="24"/>
        </w:rPr>
      </w:pPr>
      <w:r>
        <w:rPr>
          <w:rFonts w:hint="eastAsia" w:eastAsia="楷体_GB2312" w:cs="楷体_GB2312"/>
          <w:color w:val="000000"/>
          <w:sz w:val="24"/>
        </w:rPr>
        <w:t>账</w:t>
      </w:r>
      <w:r>
        <w:rPr>
          <w:rFonts w:eastAsia="楷体_GB2312"/>
          <w:color w:val="000000"/>
          <w:sz w:val="24"/>
        </w:rPr>
        <w:tab/>
      </w:r>
      <w:r>
        <w:rPr>
          <w:rFonts w:eastAsia="楷体_GB2312"/>
          <w:color w:val="000000"/>
          <w:sz w:val="24"/>
        </w:rPr>
        <w:tab/>
      </w:r>
      <w:r>
        <w:rPr>
          <w:rFonts w:hint="eastAsia" w:eastAsia="楷体_GB2312" w:cs="楷体_GB2312"/>
          <w:color w:val="000000"/>
          <w:sz w:val="24"/>
        </w:rPr>
        <w:t>号：955101960000030</w:t>
      </w:r>
    </w:p>
    <w:p>
      <w:pPr>
        <w:spacing w:line="380" w:lineRule="atLeast"/>
        <w:ind w:left="992"/>
        <w:rPr>
          <w:rFonts w:hint="eastAsia" w:eastAsia="楷体_GB2312"/>
          <w:szCs w:val="21"/>
          <w:lang w:eastAsia="zh-CN"/>
        </w:rPr>
      </w:pPr>
      <w:r>
        <w:rPr>
          <w:rFonts w:hint="eastAsia" w:eastAsia="楷体_GB2312" w:cs="楷体_GB2312"/>
          <w:color w:val="000000"/>
          <w:sz w:val="24"/>
        </w:rPr>
        <w:t>开户银行：</w:t>
      </w:r>
      <w:r>
        <w:rPr>
          <w:rFonts w:hint="eastAsia" w:eastAsia="楷体_GB2312" w:cs="楷体_GB2312"/>
          <w:color w:val="000000"/>
          <w:sz w:val="24"/>
          <w:lang w:eastAsia="zh-CN"/>
        </w:rPr>
        <w:t>招商银行青岛分行</w:t>
      </w:r>
    </w:p>
    <w:p>
      <w:pPr>
        <w:tabs>
          <w:tab w:val="left" w:pos="1260"/>
        </w:tabs>
        <w:snapToGrid w:val="0"/>
        <w:spacing w:line="380" w:lineRule="atLeast"/>
        <w:ind w:right="-87"/>
        <w:rPr>
          <w:rFonts w:eastAsia="楷体_GB2312"/>
          <w:b/>
          <w:bCs/>
          <w:color w:val="000000"/>
          <w:sz w:val="24"/>
        </w:rPr>
      </w:pPr>
    </w:p>
    <w:p>
      <w:pPr>
        <w:numPr>
          <w:ilvl w:val="0"/>
          <w:numId w:val="2"/>
        </w:numPr>
        <w:tabs>
          <w:tab w:val="left" w:pos="1260"/>
        </w:tabs>
        <w:snapToGrid w:val="0"/>
        <w:spacing w:line="380" w:lineRule="atLeast"/>
        <w:ind w:right="-87"/>
        <w:rPr>
          <w:rFonts w:eastAsia="楷体_GB2312"/>
          <w:b/>
          <w:bCs/>
          <w:color w:val="000000"/>
          <w:sz w:val="24"/>
        </w:rPr>
      </w:pPr>
      <w:r>
        <w:rPr>
          <w:rFonts w:hint="eastAsia" w:eastAsia="楷体_GB2312" w:cs="楷体_GB2312"/>
          <w:b/>
          <w:bCs/>
          <w:color w:val="000000"/>
          <w:sz w:val="24"/>
        </w:rPr>
        <w:t>风险的转移</w:t>
      </w:r>
    </w:p>
    <w:p>
      <w:pPr>
        <w:spacing w:line="380" w:lineRule="atLeast"/>
        <w:ind w:left="425"/>
        <w:rPr>
          <w:rFonts w:eastAsia="楷体_GB2312"/>
          <w:bCs/>
          <w:color w:val="auto"/>
          <w:sz w:val="24"/>
        </w:rPr>
      </w:pPr>
      <w:r>
        <w:rPr>
          <w:rFonts w:hint="eastAsia" w:eastAsia="楷体_GB2312" w:cs="楷体_GB2312"/>
          <w:bCs/>
          <w:color w:val="auto"/>
          <w:sz w:val="24"/>
        </w:rPr>
        <w:t>自权利转移日起，标的债权的风险转移给乙方。</w:t>
      </w:r>
    </w:p>
    <w:p>
      <w:pPr>
        <w:tabs>
          <w:tab w:val="left" w:pos="1260"/>
        </w:tabs>
        <w:snapToGrid w:val="0"/>
        <w:spacing w:line="380" w:lineRule="atLeast"/>
        <w:ind w:right="-87"/>
        <w:rPr>
          <w:rFonts w:eastAsia="楷体_GB2312"/>
          <w:b/>
          <w:bCs/>
          <w:color w:val="000000"/>
          <w:sz w:val="24"/>
        </w:rPr>
      </w:pPr>
    </w:p>
    <w:p>
      <w:pPr>
        <w:numPr>
          <w:ilvl w:val="0"/>
          <w:numId w:val="2"/>
        </w:numPr>
        <w:tabs>
          <w:tab w:val="left" w:pos="1260"/>
        </w:tabs>
        <w:snapToGrid w:val="0"/>
        <w:spacing w:line="380" w:lineRule="atLeast"/>
        <w:ind w:right="-87"/>
        <w:rPr>
          <w:rFonts w:eastAsia="楷体_GB2312"/>
          <w:b/>
          <w:bCs/>
          <w:color w:val="000000"/>
          <w:sz w:val="24"/>
        </w:rPr>
      </w:pPr>
      <w:bookmarkStart w:id="5" w:name="_Ref120351919"/>
      <w:r>
        <w:rPr>
          <w:rFonts w:hint="eastAsia" w:eastAsia="楷体_GB2312" w:cs="楷体_GB2312"/>
          <w:b/>
          <w:bCs/>
          <w:color w:val="000000"/>
          <w:sz w:val="24"/>
        </w:rPr>
        <w:t>标的债权的转移、交付与</w:t>
      </w:r>
      <w:bookmarkEnd w:id="5"/>
      <w:r>
        <w:rPr>
          <w:rFonts w:hint="eastAsia" w:eastAsia="楷体_GB2312" w:cs="楷体_GB2312"/>
          <w:b/>
          <w:bCs/>
          <w:color w:val="000000"/>
          <w:sz w:val="24"/>
          <w:lang w:eastAsia="zh-CN"/>
        </w:rPr>
        <w:t>通知</w:t>
      </w:r>
    </w:p>
    <w:p>
      <w:pPr>
        <w:numPr>
          <w:ilvl w:val="1"/>
          <w:numId w:val="2"/>
        </w:numPr>
        <w:spacing w:line="380" w:lineRule="atLeast"/>
        <w:rPr>
          <w:rFonts w:eastAsia="楷体_GB2312"/>
          <w:color w:val="000000"/>
          <w:sz w:val="24"/>
        </w:rPr>
      </w:pPr>
      <w:r>
        <w:rPr>
          <w:rFonts w:hint="eastAsia" w:eastAsia="楷体_GB2312" w:cs="楷体_GB2312"/>
          <w:color w:val="000000"/>
          <w:sz w:val="24"/>
        </w:rPr>
        <w:t>标的债权的转移</w:t>
      </w:r>
    </w:p>
    <w:p>
      <w:pPr>
        <w:spacing w:line="380" w:lineRule="atLeast"/>
        <w:ind w:left="425"/>
        <w:rPr>
          <w:rFonts w:eastAsia="楷体_GB2312"/>
          <w:b/>
          <w:bCs/>
          <w:color w:val="000000"/>
          <w:sz w:val="24"/>
        </w:rPr>
      </w:pPr>
    </w:p>
    <w:p>
      <w:pPr>
        <w:numPr>
          <w:ilvl w:val="2"/>
          <w:numId w:val="2"/>
        </w:numPr>
        <w:tabs>
          <w:tab w:val="left" w:pos="1080"/>
        </w:tabs>
        <w:spacing w:line="380" w:lineRule="atLeast"/>
        <w:ind w:left="1620" w:hanging="720"/>
        <w:rPr>
          <w:rFonts w:eastAsia="楷体_GB2312"/>
          <w:bCs/>
          <w:color w:val="000000"/>
          <w:sz w:val="24"/>
        </w:rPr>
      </w:pPr>
      <w:r>
        <w:rPr>
          <w:rFonts w:hint="eastAsia" w:eastAsia="楷体_GB2312" w:cs="楷体_GB2312"/>
          <w:bCs/>
          <w:color w:val="000000"/>
          <w:sz w:val="24"/>
        </w:rPr>
        <w:t>双方确认，在乙方支付完毕全部转让价款之日，标的债权从甲方转移至乙方。</w:t>
      </w:r>
    </w:p>
    <w:p>
      <w:pPr>
        <w:spacing w:line="380" w:lineRule="atLeast"/>
        <w:ind w:left="851"/>
        <w:rPr>
          <w:rFonts w:eastAsia="楷体_GB2312"/>
          <w:color w:val="000000"/>
          <w:sz w:val="24"/>
        </w:rPr>
      </w:pPr>
    </w:p>
    <w:p>
      <w:pPr>
        <w:numPr>
          <w:ilvl w:val="2"/>
          <w:numId w:val="2"/>
        </w:numPr>
        <w:tabs>
          <w:tab w:val="left" w:pos="1080"/>
        </w:tabs>
        <w:spacing w:line="380" w:lineRule="atLeast"/>
        <w:ind w:left="1620" w:hanging="720"/>
        <w:rPr>
          <w:rFonts w:eastAsia="楷体_GB2312"/>
          <w:color w:val="000000"/>
          <w:sz w:val="24"/>
        </w:rPr>
      </w:pPr>
      <w:r>
        <w:rPr>
          <w:rFonts w:hint="eastAsia" w:eastAsia="楷体_GB2312" w:cs="楷体_GB2312"/>
          <w:color w:val="000000"/>
          <w:sz w:val="24"/>
        </w:rPr>
        <w:t>双方确认，在权利转移日前，标的债权仍归甲方所有，甲方按照本合同的约定对标的债权进行管理。</w:t>
      </w:r>
    </w:p>
    <w:p>
      <w:pPr>
        <w:spacing w:line="380" w:lineRule="atLeast"/>
        <w:rPr>
          <w:rFonts w:eastAsia="楷体_GB2312"/>
          <w:color w:val="000000"/>
          <w:sz w:val="24"/>
        </w:rPr>
      </w:pPr>
    </w:p>
    <w:p>
      <w:pPr>
        <w:numPr>
          <w:ilvl w:val="2"/>
          <w:numId w:val="2"/>
        </w:numPr>
        <w:tabs>
          <w:tab w:val="left" w:pos="1080"/>
        </w:tabs>
        <w:spacing w:line="380" w:lineRule="atLeast"/>
        <w:ind w:left="1620" w:hanging="720"/>
        <w:rPr>
          <w:rFonts w:eastAsia="楷体_GB2312"/>
          <w:color w:val="000000"/>
          <w:sz w:val="24"/>
        </w:rPr>
      </w:pPr>
      <w:r>
        <w:rPr>
          <w:rFonts w:hint="eastAsia" w:eastAsia="楷体_GB2312" w:cs="楷体_GB2312"/>
          <w:color w:val="000000"/>
          <w:sz w:val="24"/>
        </w:rPr>
        <w:t>双方确认，在权利转移日后，标的债权归乙方所有。法律法规规定需要办理相关手续的，由甲、乙双方负责办理各自应负责办理的事项，另一方予以积极配合。</w:t>
      </w:r>
    </w:p>
    <w:p>
      <w:pPr>
        <w:ind w:firstLine="480" w:firstLineChars="200"/>
        <w:rPr>
          <w:rFonts w:eastAsia="楷体_GB2312"/>
          <w:color w:val="000000"/>
          <w:sz w:val="24"/>
        </w:rPr>
      </w:pPr>
    </w:p>
    <w:p>
      <w:pPr>
        <w:numPr>
          <w:ilvl w:val="2"/>
          <w:numId w:val="2"/>
        </w:numPr>
        <w:tabs>
          <w:tab w:val="left" w:pos="1080"/>
        </w:tabs>
        <w:spacing w:line="380" w:lineRule="atLeast"/>
        <w:ind w:left="1620" w:hanging="720"/>
        <w:rPr>
          <w:rFonts w:eastAsia="楷体_GB2312"/>
          <w:color w:val="000000"/>
          <w:sz w:val="24"/>
        </w:rPr>
      </w:pPr>
      <w:r>
        <w:rPr>
          <w:rFonts w:hint="eastAsia" w:eastAsia="楷体_GB2312" w:cs="楷体_GB2312"/>
          <w:color w:val="000000"/>
          <w:sz w:val="24"/>
        </w:rPr>
        <w:t>在乙方支付完毕全部转让价款的前提下，甲方在过渡期和交接期间因管理标的债权所产生的收益（包括现金、抵债资产等），乙方有权要求甲方将标的债权的清偿价款划付至乙方指定账户，标的债权转让对价不变。</w:t>
      </w:r>
    </w:p>
    <w:p>
      <w:pPr>
        <w:numPr>
          <w:ilvl w:val="2"/>
          <w:numId w:val="2"/>
        </w:numPr>
        <w:tabs>
          <w:tab w:val="left" w:pos="1080"/>
        </w:tabs>
        <w:spacing w:line="380" w:lineRule="atLeast"/>
        <w:ind w:left="1620" w:hanging="720"/>
        <w:rPr>
          <w:rFonts w:eastAsia="楷体_GB2312" w:cs="楷体_GB2312"/>
          <w:color w:val="000000"/>
          <w:sz w:val="24"/>
        </w:rPr>
      </w:pPr>
      <w:r>
        <w:rPr>
          <w:rFonts w:hint="eastAsia" w:eastAsia="楷体_GB2312" w:cs="楷体_GB2312"/>
          <w:color w:val="000000"/>
          <w:sz w:val="24"/>
        </w:rPr>
        <w:t>过渡期内因追索资产包内债权所产生的诉讼费、评估费、律师费等法律费用由乙方承担。</w:t>
      </w:r>
    </w:p>
    <w:p>
      <w:pPr>
        <w:spacing w:line="380" w:lineRule="atLeast"/>
        <w:rPr>
          <w:rFonts w:eastAsia="楷体_GB2312"/>
          <w:b/>
          <w:bCs/>
          <w:color w:val="000000"/>
          <w:sz w:val="24"/>
        </w:rPr>
      </w:pPr>
    </w:p>
    <w:p>
      <w:pPr>
        <w:numPr>
          <w:ilvl w:val="1"/>
          <w:numId w:val="2"/>
        </w:numPr>
        <w:spacing w:line="380" w:lineRule="atLeast"/>
        <w:rPr>
          <w:rFonts w:eastAsia="楷体_GB2312"/>
          <w:bCs/>
          <w:color w:val="000000"/>
          <w:sz w:val="24"/>
        </w:rPr>
      </w:pPr>
      <w:bookmarkStart w:id="6" w:name="_Ref128676568"/>
      <w:r>
        <w:rPr>
          <w:rFonts w:hint="eastAsia" w:eastAsia="楷体_GB2312" w:cs="楷体_GB2312"/>
          <w:bCs/>
          <w:color w:val="000000"/>
          <w:sz w:val="24"/>
        </w:rPr>
        <w:t>文件的交付</w:t>
      </w:r>
      <w:bookmarkEnd w:id="6"/>
    </w:p>
    <w:p>
      <w:pPr>
        <w:numPr>
          <w:ilvl w:val="2"/>
          <w:numId w:val="2"/>
        </w:numPr>
        <w:tabs>
          <w:tab w:val="left" w:pos="1080"/>
        </w:tabs>
        <w:spacing w:line="380" w:lineRule="atLeast"/>
        <w:ind w:left="1620" w:hanging="720"/>
        <w:rPr>
          <w:rFonts w:eastAsia="楷体_GB2312" w:cs="楷体_GB2312"/>
          <w:color w:val="000000"/>
          <w:sz w:val="24"/>
        </w:rPr>
      </w:pPr>
      <w:r>
        <w:rPr>
          <w:rFonts w:hint="eastAsia" w:eastAsia="楷体_GB2312" w:cs="楷体_GB2312"/>
          <w:color w:val="000000"/>
          <w:sz w:val="24"/>
        </w:rPr>
        <w:t>自乙方支付完毕全部转让价款之日起</w:t>
      </w:r>
      <w:r>
        <w:rPr>
          <w:rFonts w:hint="eastAsia" w:eastAsia="楷体_GB2312" w:cs="楷体_GB2312"/>
          <w:color w:val="000000"/>
          <w:sz w:val="24"/>
          <w:u w:val="single"/>
          <w:lang w:val="en-US" w:eastAsia="zh-CN"/>
        </w:rPr>
        <w:t>45</w:t>
      </w:r>
      <w:r>
        <w:rPr>
          <w:rFonts w:hint="eastAsia" w:eastAsia="楷体_GB2312" w:cs="楷体_GB2312"/>
          <w:color w:val="000000"/>
          <w:sz w:val="24"/>
        </w:rPr>
        <w:t>个工作日内，甲方应向乙方移交完毕标的债权的债权资料原件。</w:t>
      </w:r>
    </w:p>
    <w:p>
      <w:pPr>
        <w:spacing w:line="380" w:lineRule="atLeast"/>
        <w:ind w:left="1620"/>
        <w:rPr>
          <w:rFonts w:eastAsia="楷体_GB2312" w:cs="楷体_GB2312"/>
          <w:color w:val="000000"/>
          <w:sz w:val="24"/>
        </w:rPr>
      </w:pPr>
    </w:p>
    <w:p>
      <w:pPr>
        <w:numPr>
          <w:ilvl w:val="2"/>
          <w:numId w:val="2"/>
        </w:numPr>
        <w:tabs>
          <w:tab w:val="left" w:pos="1080"/>
        </w:tabs>
        <w:spacing w:line="380" w:lineRule="atLeast"/>
        <w:ind w:left="1620" w:hanging="720"/>
        <w:rPr>
          <w:rFonts w:eastAsia="楷体_GB2312" w:cs="楷体_GB2312"/>
          <w:color w:val="000000"/>
          <w:sz w:val="24"/>
        </w:rPr>
      </w:pPr>
      <w:r>
        <w:rPr>
          <w:rFonts w:hint="eastAsia" w:eastAsia="楷体_GB2312" w:cs="楷体_GB2312"/>
          <w:color w:val="000000"/>
          <w:sz w:val="24"/>
        </w:rPr>
        <w:t>乙方应配合甲方交接债权资料。乙方对甲方提供的债权资料逐一核对后，双方共同在债权资料交接单上盖章或由授权代表签字确认，债权资料交接即为完成。</w:t>
      </w:r>
    </w:p>
    <w:p>
      <w:pPr>
        <w:spacing w:line="380" w:lineRule="atLeast"/>
        <w:ind w:left="992"/>
        <w:rPr>
          <w:rFonts w:eastAsia="楷体_GB2312"/>
          <w:b/>
          <w:bCs/>
          <w:color w:val="000000"/>
          <w:sz w:val="24"/>
        </w:rPr>
      </w:pPr>
    </w:p>
    <w:p>
      <w:pPr>
        <w:numPr>
          <w:ilvl w:val="1"/>
          <w:numId w:val="2"/>
        </w:numPr>
        <w:spacing w:line="380" w:lineRule="atLeast"/>
        <w:rPr>
          <w:rFonts w:eastAsia="楷体_GB2312"/>
          <w:color w:val="000000"/>
          <w:sz w:val="24"/>
        </w:rPr>
      </w:pPr>
      <w:r>
        <w:rPr>
          <w:rFonts w:hint="eastAsia" w:eastAsia="楷体_GB2312" w:cs="楷体_GB2312"/>
          <w:color w:val="000000"/>
          <w:sz w:val="24"/>
        </w:rPr>
        <w:t>标的债权转让</w:t>
      </w:r>
      <w:r>
        <w:rPr>
          <w:rFonts w:hint="eastAsia" w:eastAsia="楷体_GB2312" w:cs="楷体_GB2312"/>
          <w:color w:val="000000"/>
          <w:sz w:val="24"/>
          <w:lang w:eastAsia="zh-CN"/>
        </w:rPr>
        <w:t>通知</w:t>
      </w:r>
    </w:p>
    <w:p>
      <w:pPr>
        <w:spacing w:line="380" w:lineRule="atLeast"/>
        <w:ind w:left="927"/>
        <w:rPr>
          <w:rFonts w:eastAsia="楷体_GB2312" w:cs="楷体_GB2312"/>
          <w:color w:val="000000"/>
          <w:sz w:val="24"/>
        </w:rPr>
      </w:pPr>
      <w:r>
        <w:rPr>
          <w:rFonts w:hint="eastAsia" w:ascii="Times New Roman" w:hAnsi="Times New Roman" w:eastAsia="楷体_GB2312" w:cs="楷体_GB2312"/>
          <w:color w:val="000000"/>
          <w:sz w:val="24"/>
          <w:szCs w:val="24"/>
          <w:highlight w:val="none"/>
        </w:rPr>
        <w:t>本合同签署后，</w:t>
      </w:r>
      <w:r>
        <w:rPr>
          <w:rFonts w:hint="eastAsia" w:eastAsia="楷体_GB2312" w:cs="楷体_GB2312"/>
          <w:color w:val="000000"/>
          <w:sz w:val="24"/>
        </w:rPr>
        <w:t>自乙方支付完毕全部转让价款之日起</w:t>
      </w:r>
      <w:r>
        <w:rPr>
          <w:rFonts w:hint="eastAsia" w:eastAsia="楷体_GB2312" w:cs="楷体_GB2312"/>
          <w:color w:val="000000"/>
          <w:sz w:val="24"/>
          <w:u w:val="single"/>
          <w:lang w:val="en-US" w:eastAsia="zh-CN"/>
        </w:rPr>
        <w:t>45</w:t>
      </w:r>
      <w:r>
        <w:rPr>
          <w:rFonts w:hint="eastAsia" w:eastAsia="楷体_GB2312" w:cs="楷体_GB2312"/>
          <w:color w:val="000000"/>
          <w:sz w:val="24"/>
        </w:rPr>
        <w:t>个工作日内</w:t>
      </w:r>
      <w:r>
        <w:rPr>
          <w:rFonts w:hint="eastAsia" w:ascii="Times New Roman" w:hAnsi="Times New Roman" w:eastAsia="楷体_GB2312" w:cs="楷体_GB2312"/>
          <w:color w:val="000000"/>
          <w:sz w:val="24"/>
          <w:szCs w:val="24"/>
          <w:highlight w:val="none"/>
        </w:rPr>
        <w:t>，</w:t>
      </w:r>
      <w:r>
        <w:rPr>
          <w:rFonts w:hint="eastAsia" w:ascii="Times New Roman" w:hAnsi="Times New Roman" w:eastAsia="楷体_GB2312" w:cs="楷体_GB2312"/>
          <w:color w:val="000000"/>
          <w:sz w:val="24"/>
          <w:szCs w:val="24"/>
          <w:highlight w:val="none"/>
          <w:lang w:eastAsia="zh-CN"/>
        </w:rPr>
        <w:t>甲</w:t>
      </w:r>
      <w:r>
        <w:rPr>
          <w:rFonts w:hint="eastAsia" w:ascii="Times New Roman" w:hAnsi="Times New Roman" w:eastAsia="楷体_GB2312" w:cs="楷体_GB2312"/>
          <w:color w:val="000000"/>
          <w:sz w:val="24"/>
          <w:szCs w:val="24"/>
          <w:highlight w:val="none"/>
        </w:rPr>
        <w:t>方采取逐户通知债务关联人的方式履行告知义务，并</w:t>
      </w:r>
      <w:r>
        <w:rPr>
          <w:rFonts w:hint="eastAsia" w:eastAsia="楷体_GB2312" w:cs="楷体_GB2312"/>
          <w:color w:val="000000"/>
          <w:sz w:val="24"/>
          <w:szCs w:val="24"/>
          <w:lang w:eastAsia="zh-CN"/>
        </w:rPr>
        <w:t>由甲乙双方</w:t>
      </w:r>
      <w:r>
        <w:rPr>
          <w:rFonts w:hint="eastAsia" w:ascii="Times New Roman" w:hAnsi="Times New Roman" w:eastAsia="楷体_GB2312" w:cs="楷体_GB2312"/>
          <w:color w:val="000000"/>
          <w:sz w:val="24"/>
          <w:szCs w:val="24"/>
          <w:highlight w:val="none"/>
        </w:rPr>
        <w:t>以公告方式在</w:t>
      </w:r>
      <w:r>
        <w:rPr>
          <w:rFonts w:hint="eastAsia" w:eastAsia="楷体_GB2312" w:cs="楷体_GB2312"/>
          <w:color w:val="000000"/>
          <w:sz w:val="24"/>
        </w:rPr>
        <w:t>全国或者省级报纸上发布标的债权转让公告，通知债务人和</w:t>
      </w:r>
      <w:r>
        <w:rPr>
          <w:rFonts w:eastAsia="楷体_GB2312"/>
          <w:color w:val="000000"/>
          <w:sz w:val="24"/>
        </w:rPr>
        <w:t>/</w:t>
      </w:r>
      <w:r>
        <w:rPr>
          <w:rFonts w:hint="eastAsia" w:eastAsia="楷体_GB2312" w:cs="楷体_GB2312"/>
          <w:color w:val="000000"/>
          <w:sz w:val="24"/>
        </w:rPr>
        <w:t>或担保人。前述通知</w:t>
      </w:r>
      <w:r>
        <w:rPr>
          <w:rFonts w:hint="eastAsia" w:eastAsia="楷体_GB2312" w:cs="楷体_GB2312"/>
          <w:color w:val="000000"/>
          <w:sz w:val="24"/>
          <w:lang w:eastAsia="zh-CN"/>
        </w:rPr>
        <w:t>、公告</w:t>
      </w:r>
      <w:r>
        <w:rPr>
          <w:rFonts w:hint="eastAsia" w:eastAsia="楷体_GB2312" w:cs="楷体_GB2312"/>
          <w:color w:val="000000"/>
          <w:sz w:val="24"/>
        </w:rPr>
        <w:t>的相关费用由</w:t>
      </w:r>
      <w:r>
        <w:rPr>
          <w:rFonts w:hint="eastAsia" w:eastAsia="楷体_GB2312" w:cs="楷体_GB2312"/>
          <w:color w:val="000000"/>
          <w:sz w:val="24"/>
          <w:lang w:eastAsia="zh-CN"/>
        </w:rPr>
        <w:t>甲方</w:t>
      </w:r>
      <w:r>
        <w:rPr>
          <w:rFonts w:hint="eastAsia" w:eastAsia="楷体_GB2312" w:cs="楷体_GB2312"/>
          <w:color w:val="000000"/>
          <w:sz w:val="24"/>
        </w:rPr>
        <w:t>承担。</w:t>
      </w:r>
    </w:p>
    <w:p>
      <w:pPr>
        <w:spacing w:line="380" w:lineRule="atLeast"/>
        <w:rPr>
          <w:rFonts w:eastAsia="楷体_GB2312"/>
          <w:color w:val="000000"/>
          <w:sz w:val="24"/>
        </w:rPr>
      </w:pPr>
    </w:p>
    <w:p>
      <w:pPr>
        <w:spacing w:line="380" w:lineRule="atLeast"/>
        <w:ind w:left="837" w:leftChars="399"/>
        <w:rPr>
          <w:rFonts w:hint="eastAsia" w:eastAsia="楷体_GB2312" w:cs="楷体_GB2312"/>
          <w:color w:val="000000"/>
          <w:sz w:val="24"/>
        </w:rPr>
      </w:pPr>
      <w:r>
        <w:rPr>
          <w:rFonts w:hint="eastAsia" w:eastAsia="楷体_GB2312" w:cs="楷体_GB2312"/>
          <w:color w:val="000000"/>
          <w:sz w:val="24"/>
        </w:rPr>
        <w:t>乙方迟延受领标的债权文件，不影响甲、乙双方对标的债权的转让发布转让</w:t>
      </w:r>
      <w:r>
        <w:rPr>
          <w:rFonts w:hint="eastAsia" w:eastAsia="楷体_GB2312" w:cs="楷体_GB2312"/>
          <w:color w:val="000000"/>
          <w:sz w:val="24"/>
          <w:lang w:eastAsia="zh-CN"/>
        </w:rPr>
        <w:t>通知</w:t>
      </w:r>
      <w:r>
        <w:rPr>
          <w:rFonts w:hint="eastAsia" w:eastAsia="楷体_GB2312" w:cs="楷体_GB2312"/>
          <w:color w:val="000000"/>
          <w:sz w:val="24"/>
          <w:lang w:val="en-US" w:eastAsia="zh-CN"/>
        </w:rPr>
        <w:t>/</w:t>
      </w:r>
      <w:r>
        <w:rPr>
          <w:rFonts w:hint="eastAsia" w:eastAsia="楷体_GB2312" w:cs="楷体_GB2312"/>
          <w:color w:val="000000"/>
          <w:sz w:val="24"/>
        </w:rPr>
        <w:t>公告。</w:t>
      </w:r>
    </w:p>
    <w:p>
      <w:pPr>
        <w:spacing w:line="380" w:lineRule="atLeast"/>
        <w:ind w:left="837" w:leftChars="399"/>
        <w:rPr>
          <w:rFonts w:hint="eastAsia" w:eastAsia="楷体_GB2312" w:cs="楷体_GB2312"/>
          <w:color w:val="auto"/>
          <w:sz w:val="24"/>
        </w:rPr>
      </w:pPr>
    </w:p>
    <w:p>
      <w:pPr>
        <w:numPr>
          <w:ilvl w:val="1"/>
          <w:numId w:val="2"/>
        </w:numPr>
        <w:spacing w:line="380" w:lineRule="atLeast"/>
        <w:rPr>
          <w:rFonts w:hint="eastAsia" w:eastAsia="楷体_GB2312" w:cs="楷体_GB2312"/>
          <w:color w:val="auto"/>
          <w:sz w:val="24"/>
        </w:rPr>
      </w:pPr>
      <w:r>
        <w:rPr>
          <w:rFonts w:hint="eastAsia" w:eastAsia="楷体_GB2312" w:cs="楷体_GB2312"/>
          <w:color w:val="auto"/>
          <w:sz w:val="24"/>
        </w:rPr>
        <w:t>权利转移日后转让方的配合义务</w:t>
      </w:r>
    </w:p>
    <w:p>
      <w:pPr>
        <w:spacing w:line="380" w:lineRule="atLeast"/>
        <w:ind w:left="927"/>
        <w:rPr>
          <w:rFonts w:hint="eastAsia" w:ascii="Times New Roman" w:hAnsi="Times New Roman" w:eastAsia="楷体_GB2312" w:cs="楷体_GB2312"/>
          <w:color w:val="auto"/>
          <w:sz w:val="24"/>
          <w:szCs w:val="24"/>
          <w:highlight w:val="none"/>
        </w:rPr>
      </w:pPr>
      <w:r>
        <w:rPr>
          <w:rFonts w:hint="eastAsia" w:ascii="Times New Roman" w:hAnsi="Times New Roman" w:eastAsia="楷体_GB2312" w:cs="楷体_GB2312"/>
          <w:color w:val="auto"/>
          <w:sz w:val="24"/>
          <w:szCs w:val="24"/>
          <w:highlight w:val="none"/>
        </w:rPr>
        <w:t>1）涉及本合同项下的该笔债权、抵押物等的任何诉讼或其他法律行动，按受让方书面指令操作(包括配合受让方及其它今后可能受让该笔债权的第三方采取法律行动、变更及撤销抵押登记或申请财产保全，在必要的法律文件上签字盖章及/或出庭等)；</w:t>
      </w:r>
    </w:p>
    <w:p>
      <w:pPr>
        <w:spacing w:line="380" w:lineRule="atLeast"/>
        <w:ind w:left="927"/>
        <w:rPr>
          <w:rFonts w:hint="eastAsia" w:ascii="Times New Roman" w:hAnsi="Times New Roman" w:eastAsia="楷体_GB2312" w:cs="楷体_GB2312"/>
          <w:color w:val="auto"/>
          <w:sz w:val="24"/>
          <w:szCs w:val="24"/>
          <w:highlight w:val="none"/>
        </w:rPr>
      </w:pPr>
      <w:r>
        <w:rPr>
          <w:rFonts w:hint="eastAsia" w:ascii="Times New Roman" w:hAnsi="Times New Roman" w:eastAsia="楷体_GB2312" w:cs="楷体_GB2312"/>
          <w:color w:val="auto"/>
          <w:sz w:val="24"/>
          <w:szCs w:val="24"/>
          <w:highlight w:val="none"/>
        </w:rPr>
        <w:t>2）转让方应在收到与债权或抵押物有关的任何账单、发票、信函或其他文件后，将原件转交给受让方或受让方指定的今后可能受让该笔债权的第三方。</w:t>
      </w:r>
    </w:p>
    <w:p>
      <w:pPr>
        <w:numPr>
          <w:ilvl w:val="0"/>
          <w:numId w:val="2"/>
        </w:numPr>
        <w:tabs>
          <w:tab w:val="left" w:pos="1260"/>
        </w:tabs>
        <w:snapToGrid w:val="0"/>
        <w:spacing w:line="380" w:lineRule="atLeast"/>
        <w:ind w:right="-87"/>
        <w:rPr>
          <w:rFonts w:eastAsia="楷体_GB2312"/>
          <w:b/>
          <w:bCs/>
          <w:color w:val="000000"/>
          <w:sz w:val="24"/>
        </w:rPr>
      </w:pPr>
      <w:r>
        <w:rPr>
          <w:rFonts w:hint="eastAsia" w:eastAsia="楷体_GB2312" w:cs="楷体_GB2312"/>
          <w:b/>
          <w:bCs/>
          <w:color w:val="000000"/>
          <w:sz w:val="24"/>
        </w:rPr>
        <w:t>过渡期标的债权的管理</w:t>
      </w:r>
    </w:p>
    <w:p>
      <w:pPr>
        <w:numPr>
          <w:ilvl w:val="1"/>
          <w:numId w:val="2"/>
        </w:numPr>
        <w:tabs>
          <w:tab w:val="left" w:pos="1260"/>
        </w:tabs>
        <w:snapToGrid w:val="0"/>
        <w:spacing w:line="380" w:lineRule="atLeast"/>
        <w:ind w:right="-87"/>
        <w:rPr>
          <w:rFonts w:eastAsia="楷体_GB2312"/>
          <w:b/>
          <w:bCs/>
          <w:color w:val="000000"/>
          <w:sz w:val="24"/>
        </w:rPr>
      </w:pPr>
      <w:r>
        <w:rPr>
          <w:rFonts w:hint="eastAsia" w:eastAsia="楷体_GB2312" w:cs="楷体_GB2312"/>
          <w:color w:val="000000"/>
          <w:sz w:val="24"/>
        </w:rPr>
        <w:t>在过渡期内，甲方拥有对标的债权的管理、处置权，并按照下列原则管理、处置标的债权</w:t>
      </w:r>
      <w:r>
        <w:rPr>
          <w:rFonts w:hint="eastAsia" w:ascii="楷体_GB2312" w:eastAsia="楷体_GB2312" w:cs="楷体_GB2312"/>
          <w:color w:val="000000"/>
          <w:sz w:val="24"/>
        </w:rPr>
        <w:t>：</w:t>
      </w:r>
      <w:r>
        <w:rPr>
          <w:rFonts w:hint="eastAsia" w:eastAsia="楷体_GB2312" w:cs="楷体_GB2312"/>
          <w:color w:val="000000"/>
          <w:sz w:val="24"/>
        </w:rPr>
        <w:t>（</w:t>
      </w:r>
      <w:r>
        <w:rPr>
          <w:rFonts w:eastAsia="楷体_GB2312"/>
          <w:color w:val="000000"/>
          <w:sz w:val="24"/>
        </w:rPr>
        <w:t>1</w:t>
      </w:r>
      <w:r>
        <w:rPr>
          <w:rFonts w:hint="eastAsia" w:eastAsia="楷体_GB2312" w:cs="楷体_GB2312"/>
          <w:color w:val="000000"/>
          <w:sz w:val="24"/>
        </w:rPr>
        <w:t>）遵守国家相关法律、法规的规定；（</w:t>
      </w:r>
      <w:r>
        <w:rPr>
          <w:rFonts w:eastAsia="楷体_GB2312"/>
          <w:color w:val="000000"/>
          <w:sz w:val="24"/>
        </w:rPr>
        <w:t>2</w:t>
      </w:r>
      <w:r>
        <w:rPr>
          <w:rFonts w:hint="eastAsia" w:eastAsia="楷体_GB2312" w:cs="楷体_GB2312"/>
          <w:color w:val="000000"/>
          <w:sz w:val="24"/>
        </w:rPr>
        <w:t>）遵守甲方制定的有关资产管理和处置的规定。</w:t>
      </w:r>
    </w:p>
    <w:p>
      <w:pPr>
        <w:tabs>
          <w:tab w:val="left" w:pos="1260"/>
        </w:tabs>
        <w:snapToGrid w:val="0"/>
        <w:spacing w:line="380" w:lineRule="atLeast"/>
        <w:ind w:left="425" w:right="-87"/>
        <w:rPr>
          <w:rFonts w:eastAsia="楷体_GB2312"/>
          <w:b/>
          <w:bCs/>
          <w:color w:val="000000"/>
          <w:sz w:val="24"/>
        </w:rPr>
      </w:pPr>
    </w:p>
    <w:p>
      <w:pPr>
        <w:numPr>
          <w:ilvl w:val="1"/>
          <w:numId w:val="2"/>
        </w:numPr>
        <w:tabs>
          <w:tab w:val="left" w:pos="1260"/>
        </w:tabs>
        <w:snapToGrid w:val="0"/>
        <w:spacing w:line="380" w:lineRule="atLeast"/>
        <w:ind w:right="-87"/>
        <w:rPr>
          <w:rFonts w:eastAsia="楷体_GB2312"/>
          <w:bCs/>
          <w:color w:val="000000"/>
          <w:sz w:val="24"/>
        </w:rPr>
      </w:pPr>
      <w:r>
        <w:rPr>
          <w:rFonts w:hint="eastAsia" w:eastAsia="楷体_GB2312" w:cs="楷体_GB2312"/>
          <w:bCs/>
          <w:color w:val="000000"/>
          <w:sz w:val="24"/>
        </w:rPr>
        <w:t>在过渡期内，甲方应对标的债权涉及相应诉讼时效和</w:t>
      </w:r>
      <w:r>
        <w:rPr>
          <w:rFonts w:eastAsia="楷体_GB2312"/>
          <w:bCs/>
          <w:color w:val="000000"/>
          <w:sz w:val="24"/>
        </w:rPr>
        <w:t>/</w:t>
      </w:r>
      <w:r>
        <w:rPr>
          <w:rFonts w:hint="eastAsia" w:eastAsia="楷体_GB2312" w:cs="楷体_GB2312"/>
          <w:bCs/>
          <w:color w:val="000000"/>
          <w:sz w:val="24"/>
        </w:rPr>
        <w:t>或法定期间进行维护，但代位权和撤销权的行使除外。如标的债权在基准日之前已经超过诉讼时效和</w:t>
      </w:r>
      <w:r>
        <w:rPr>
          <w:rFonts w:eastAsia="楷体_GB2312"/>
          <w:bCs/>
          <w:color w:val="000000"/>
          <w:sz w:val="24"/>
        </w:rPr>
        <w:t>/</w:t>
      </w:r>
      <w:r>
        <w:rPr>
          <w:rFonts w:hint="eastAsia" w:eastAsia="楷体_GB2312" w:cs="楷体_GB2312"/>
          <w:bCs/>
          <w:color w:val="000000"/>
          <w:sz w:val="24"/>
        </w:rPr>
        <w:t>或法定期间，则不属于甲方维护的范围。</w:t>
      </w:r>
    </w:p>
    <w:p>
      <w:pPr>
        <w:tabs>
          <w:tab w:val="left" w:pos="1260"/>
        </w:tabs>
        <w:snapToGrid w:val="0"/>
        <w:spacing w:line="380" w:lineRule="atLeast"/>
        <w:ind w:right="-87"/>
        <w:rPr>
          <w:rFonts w:eastAsia="楷体_GB2312"/>
          <w:color w:val="000000"/>
          <w:sz w:val="24"/>
        </w:rPr>
      </w:pPr>
    </w:p>
    <w:p>
      <w:pPr>
        <w:numPr>
          <w:ilvl w:val="0"/>
          <w:numId w:val="2"/>
        </w:numPr>
        <w:snapToGrid w:val="0"/>
        <w:spacing w:line="380" w:lineRule="atLeast"/>
        <w:ind w:right="-86" w:rightChars="-41"/>
        <w:rPr>
          <w:rFonts w:eastAsia="楷体_GB2312"/>
          <w:b/>
          <w:bCs/>
          <w:color w:val="000000"/>
          <w:sz w:val="24"/>
        </w:rPr>
      </w:pPr>
      <w:r>
        <w:rPr>
          <w:rFonts w:hint="eastAsia" w:eastAsia="楷体_GB2312" w:cs="楷体_GB2312"/>
          <w:b/>
          <w:bCs/>
          <w:color w:val="000000"/>
          <w:sz w:val="24"/>
        </w:rPr>
        <w:t>声明与保证</w:t>
      </w:r>
    </w:p>
    <w:p>
      <w:pPr>
        <w:numPr>
          <w:ilvl w:val="1"/>
          <w:numId w:val="2"/>
        </w:numPr>
        <w:snapToGrid w:val="0"/>
        <w:spacing w:line="380" w:lineRule="atLeast"/>
        <w:ind w:right="-86" w:rightChars="-41"/>
        <w:rPr>
          <w:rFonts w:eastAsia="楷体_GB2312"/>
          <w:color w:val="000000"/>
          <w:sz w:val="24"/>
        </w:rPr>
      </w:pPr>
      <w:r>
        <w:rPr>
          <w:rFonts w:hint="eastAsia" w:eastAsia="楷体_GB2312" w:cs="楷体_GB2312"/>
          <w:color w:val="000000"/>
          <w:sz w:val="24"/>
        </w:rPr>
        <w:t>甲方的声明和保证</w:t>
      </w:r>
    </w:p>
    <w:p>
      <w:pPr>
        <w:numPr>
          <w:ilvl w:val="2"/>
          <w:numId w:val="2"/>
        </w:numPr>
        <w:tabs>
          <w:tab w:val="left" w:pos="1080"/>
        </w:tabs>
        <w:spacing w:line="380" w:lineRule="atLeast"/>
        <w:ind w:left="1620" w:hanging="720"/>
        <w:rPr>
          <w:rFonts w:eastAsia="楷体_GB2312" w:cs="楷体_GB2312"/>
          <w:color w:val="000000"/>
          <w:sz w:val="24"/>
        </w:rPr>
      </w:pPr>
      <w:r>
        <w:rPr>
          <w:rFonts w:hint="eastAsia" w:eastAsia="楷体_GB2312" w:cs="楷体_GB2312"/>
          <w:color w:val="000000"/>
          <w:sz w:val="24"/>
        </w:rPr>
        <w:t>甲方具备合法的资格和权利签署本协议，并已获得一切必要的授权，接受本协议的条款和条件。甲方签署及履行本协议不会违反任何适用于甲方的法律，也不会构成其对在先协议或可能协议的任何违反。</w:t>
      </w:r>
    </w:p>
    <w:p>
      <w:pPr>
        <w:spacing w:line="380" w:lineRule="atLeast"/>
        <w:ind w:left="1620"/>
        <w:rPr>
          <w:rFonts w:eastAsia="楷体_GB2312" w:cs="楷体_GB2312"/>
          <w:color w:val="000000"/>
          <w:sz w:val="24"/>
        </w:rPr>
      </w:pPr>
    </w:p>
    <w:p>
      <w:pPr>
        <w:numPr>
          <w:ilvl w:val="2"/>
          <w:numId w:val="2"/>
        </w:numPr>
        <w:tabs>
          <w:tab w:val="left" w:pos="1080"/>
        </w:tabs>
        <w:spacing w:line="380" w:lineRule="atLeast"/>
        <w:ind w:left="1620" w:hanging="720"/>
        <w:rPr>
          <w:rFonts w:eastAsia="楷体_GB2312" w:cs="楷体_GB2312"/>
          <w:color w:val="000000"/>
          <w:sz w:val="24"/>
        </w:rPr>
      </w:pPr>
      <w:r>
        <w:rPr>
          <w:rFonts w:hint="eastAsia" w:eastAsia="楷体_GB2312" w:cs="楷体_GB2312"/>
          <w:color w:val="000000"/>
          <w:sz w:val="24"/>
        </w:rPr>
        <w:t>甲方为本协议项下标的债权的合法权利人，有充分的权利将标的债权根据本协议的约定进行转让。</w:t>
      </w:r>
    </w:p>
    <w:p>
      <w:pPr>
        <w:spacing w:line="380" w:lineRule="atLeast"/>
        <w:ind w:left="1620"/>
        <w:rPr>
          <w:rFonts w:eastAsia="楷体_GB2312" w:cs="楷体_GB2312"/>
          <w:color w:val="000000"/>
          <w:sz w:val="24"/>
        </w:rPr>
      </w:pPr>
    </w:p>
    <w:p>
      <w:pPr>
        <w:numPr>
          <w:ilvl w:val="2"/>
          <w:numId w:val="2"/>
        </w:numPr>
        <w:tabs>
          <w:tab w:val="left" w:pos="1080"/>
        </w:tabs>
        <w:spacing w:line="380" w:lineRule="atLeast"/>
        <w:ind w:left="1620" w:hanging="720"/>
        <w:rPr>
          <w:rFonts w:eastAsia="楷体_GB2312" w:cs="楷体_GB2312"/>
          <w:color w:val="000000"/>
          <w:sz w:val="24"/>
        </w:rPr>
      </w:pPr>
      <w:r>
        <w:rPr>
          <w:rFonts w:hint="eastAsia" w:eastAsia="楷体_GB2312" w:cs="楷体_GB2312"/>
          <w:color w:val="000000"/>
          <w:sz w:val="24"/>
        </w:rPr>
        <w:t>甲方保证其为签署、履行本协议而向乙方提供的所有证明、文件、财务报表、资料和信息，均由甲方合法获得并如实、准确、完整提供。</w:t>
      </w:r>
    </w:p>
    <w:p>
      <w:pPr>
        <w:spacing w:line="380" w:lineRule="atLeast"/>
        <w:ind w:left="1620"/>
        <w:rPr>
          <w:rFonts w:eastAsia="楷体_GB2312" w:cs="楷体_GB2312"/>
          <w:color w:val="000000"/>
          <w:sz w:val="24"/>
        </w:rPr>
      </w:pPr>
    </w:p>
    <w:p>
      <w:pPr>
        <w:numPr>
          <w:ilvl w:val="2"/>
          <w:numId w:val="2"/>
        </w:numPr>
        <w:tabs>
          <w:tab w:val="left" w:pos="1080"/>
        </w:tabs>
        <w:spacing w:line="380" w:lineRule="atLeast"/>
        <w:ind w:left="1620" w:hanging="720"/>
        <w:rPr>
          <w:rFonts w:eastAsia="楷体_GB2312" w:cs="楷体_GB2312"/>
          <w:color w:val="000000"/>
          <w:sz w:val="24"/>
        </w:rPr>
      </w:pPr>
      <w:r>
        <w:rPr>
          <w:rFonts w:hint="eastAsia" w:eastAsia="楷体_GB2312" w:cs="楷体_GB2312"/>
          <w:color w:val="000000"/>
          <w:sz w:val="24"/>
        </w:rPr>
        <w:t>甲方已将其占有的与标的债权相关的且与债权人行使权利有关的协议和文件均纳入移交资料，不存在故意隐瞒或欺诈的情形。</w:t>
      </w:r>
    </w:p>
    <w:p>
      <w:pPr>
        <w:spacing w:line="380" w:lineRule="atLeast"/>
        <w:ind w:left="1620"/>
        <w:rPr>
          <w:rFonts w:eastAsia="楷体_GB2312" w:cs="楷体_GB2312"/>
          <w:color w:val="000000"/>
          <w:sz w:val="24"/>
        </w:rPr>
      </w:pPr>
    </w:p>
    <w:p>
      <w:pPr>
        <w:numPr>
          <w:ilvl w:val="2"/>
          <w:numId w:val="2"/>
        </w:numPr>
        <w:tabs>
          <w:tab w:val="left" w:pos="1080"/>
        </w:tabs>
        <w:spacing w:line="380" w:lineRule="atLeast"/>
        <w:ind w:left="1620" w:hanging="720"/>
        <w:rPr>
          <w:rFonts w:eastAsia="楷体_GB2312" w:cs="楷体_GB2312"/>
          <w:color w:val="000000"/>
          <w:sz w:val="24"/>
        </w:rPr>
      </w:pPr>
      <w:r>
        <w:rPr>
          <w:rFonts w:hint="eastAsia" w:eastAsia="楷体_GB2312" w:cs="楷体_GB2312"/>
          <w:color w:val="000000"/>
          <w:sz w:val="24"/>
        </w:rPr>
        <w:t>甲方保证标的债权合法有效，并不存在被主张抵销或被提出抗辩的情形。</w:t>
      </w:r>
    </w:p>
    <w:p>
      <w:pPr>
        <w:spacing w:line="380" w:lineRule="atLeast"/>
        <w:ind w:left="1620"/>
        <w:rPr>
          <w:rFonts w:eastAsia="楷体_GB2312" w:cs="楷体_GB2312"/>
          <w:color w:val="000000"/>
          <w:sz w:val="24"/>
        </w:rPr>
      </w:pPr>
    </w:p>
    <w:p>
      <w:pPr>
        <w:numPr>
          <w:ilvl w:val="2"/>
          <w:numId w:val="2"/>
        </w:numPr>
        <w:tabs>
          <w:tab w:val="left" w:pos="1080"/>
        </w:tabs>
        <w:spacing w:line="380" w:lineRule="atLeast"/>
        <w:ind w:left="1620" w:hanging="720"/>
        <w:rPr>
          <w:rFonts w:eastAsia="楷体_GB2312" w:cs="楷体_GB2312"/>
          <w:color w:val="000000"/>
          <w:sz w:val="24"/>
        </w:rPr>
      </w:pPr>
      <w:r>
        <w:rPr>
          <w:rFonts w:hint="eastAsia" w:eastAsia="楷体_GB2312" w:cs="楷体_GB2312"/>
          <w:color w:val="000000"/>
          <w:sz w:val="24"/>
        </w:rPr>
        <w:t>与债权有关的抵押、质押登记以及诉讼、仲裁主体、执行主体以及其他权利主体进行变更的，甲方应予以配合。</w:t>
      </w:r>
    </w:p>
    <w:p>
      <w:pPr>
        <w:tabs>
          <w:tab w:val="left" w:pos="1080"/>
        </w:tabs>
        <w:spacing w:line="380" w:lineRule="atLeast"/>
        <w:ind w:left="1620"/>
        <w:rPr>
          <w:rFonts w:eastAsia="楷体_GB2312" w:cs="楷体_GB2312"/>
          <w:color w:val="000000"/>
          <w:sz w:val="24"/>
        </w:rPr>
      </w:pPr>
    </w:p>
    <w:p>
      <w:pPr>
        <w:numPr>
          <w:ilvl w:val="1"/>
          <w:numId w:val="2"/>
        </w:numPr>
        <w:snapToGrid w:val="0"/>
        <w:spacing w:line="380" w:lineRule="atLeast"/>
        <w:ind w:right="-86" w:rightChars="-41"/>
        <w:rPr>
          <w:rFonts w:eastAsia="楷体_GB2312"/>
          <w:color w:val="000000"/>
          <w:sz w:val="24"/>
        </w:rPr>
      </w:pPr>
      <w:r>
        <w:rPr>
          <w:rFonts w:hint="eastAsia" w:eastAsia="楷体_GB2312" w:cs="楷体_GB2312"/>
          <w:color w:val="000000"/>
          <w:sz w:val="24"/>
        </w:rPr>
        <w:t>乙方的声明和保证</w:t>
      </w:r>
    </w:p>
    <w:p>
      <w:pPr>
        <w:numPr>
          <w:ilvl w:val="2"/>
          <w:numId w:val="2"/>
        </w:numPr>
        <w:tabs>
          <w:tab w:val="left" w:pos="1080"/>
        </w:tabs>
        <w:spacing w:line="380" w:lineRule="atLeast"/>
        <w:ind w:left="1620" w:hanging="720"/>
        <w:rPr>
          <w:rFonts w:eastAsia="楷体_GB2312"/>
          <w:bCs/>
          <w:color w:val="000000"/>
          <w:sz w:val="24"/>
        </w:rPr>
      </w:pPr>
      <w:r>
        <w:rPr>
          <w:rFonts w:hint="eastAsia" w:eastAsia="楷体_GB2312" w:cs="楷体_GB2312"/>
          <w:bCs/>
          <w:color w:val="000000"/>
          <w:sz w:val="24"/>
        </w:rPr>
        <w:t>签约和履约资格保证：乙方保证具有签署本合同的主体资格、有权受让标的债权、已获得签署和履行本合同的相应授权或批准。</w:t>
      </w:r>
    </w:p>
    <w:p>
      <w:pPr>
        <w:spacing w:line="380" w:lineRule="atLeast"/>
        <w:ind w:left="900"/>
        <w:rPr>
          <w:rFonts w:eastAsia="楷体_GB2312"/>
          <w:b/>
          <w:bCs/>
          <w:color w:val="000000"/>
          <w:sz w:val="24"/>
        </w:rPr>
      </w:pPr>
    </w:p>
    <w:p>
      <w:pPr>
        <w:numPr>
          <w:ilvl w:val="2"/>
          <w:numId w:val="2"/>
        </w:numPr>
        <w:tabs>
          <w:tab w:val="left" w:pos="1080"/>
        </w:tabs>
        <w:spacing w:line="380" w:lineRule="atLeast"/>
        <w:ind w:left="1620" w:hanging="720"/>
        <w:rPr>
          <w:rFonts w:eastAsia="楷体_GB2312"/>
          <w:color w:val="000000"/>
          <w:sz w:val="24"/>
        </w:rPr>
      </w:pPr>
      <w:r>
        <w:rPr>
          <w:rFonts w:hint="eastAsia" w:eastAsia="楷体_GB2312" w:cs="楷体_GB2312"/>
          <w:color w:val="000000"/>
          <w:sz w:val="24"/>
        </w:rPr>
        <w:t>非欺骗保证：乙方保证其为签署、履行本合同而向甲方提供的所有证明、文件、资料和信息，均在提供资料的当日和适用</w:t>
      </w:r>
      <w:r>
        <w:rPr>
          <w:rFonts w:eastAsia="楷体_GB2312"/>
          <w:color w:val="000000"/>
          <w:sz w:val="24"/>
        </w:rPr>
        <w:t>/</w:t>
      </w:r>
      <w:r>
        <w:rPr>
          <w:rFonts w:hint="eastAsia" w:eastAsia="楷体_GB2312" w:cs="楷体_GB2312"/>
          <w:color w:val="000000"/>
          <w:sz w:val="24"/>
        </w:rPr>
        <w:t>使用期内是真实、准确和完整的，不存在故意隐瞒和欺骗的情况。</w:t>
      </w:r>
    </w:p>
    <w:p>
      <w:pPr>
        <w:snapToGrid w:val="0"/>
        <w:spacing w:line="380" w:lineRule="atLeast"/>
        <w:ind w:left="425" w:right="-86" w:rightChars="-41"/>
        <w:rPr>
          <w:rFonts w:eastAsia="楷体_GB2312"/>
          <w:color w:val="000000"/>
          <w:sz w:val="24"/>
        </w:rPr>
      </w:pPr>
    </w:p>
    <w:p>
      <w:pPr>
        <w:numPr>
          <w:ilvl w:val="2"/>
          <w:numId w:val="2"/>
        </w:numPr>
        <w:tabs>
          <w:tab w:val="left" w:pos="1080"/>
        </w:tabs>
        <w:spacing w:line="380" w:lineRule="atLeast"/>
        <w:ind w:left="1620" w:hanging="720"/>
        <w:rPr>
          <w:rFonts w:eastAsia="楷体_GB2312"/>
          <w:color w:val="000000"/>
          <w:sz w:val="24"/>
        </w:rPr>
      </w:pPr>
      <w:r>
        <w:rPr>
          <w:rFonts w:hint="eastAsia" w:eastAsia="楷体_GB2312" w:cs="楷体_GB2312"/>
          <w:color w:val="000000"/>
          <w:sz w:val="24"/>
        </w:rPr>
        <w:t>不冲突保证：乙方签署并履行本合同不与由其签署的任何已生效的契约性法律文件规定的义务相冲突。</w:t>
      </w:r>
    </w:p>
    <w:p>
      <w:pPr>
        <w:snapToGrid w:val="0"/>
        <w:spacing w:line="380" w:lineRule="atLeast"/>
        <w:ind w:right="-86" w:rightChars="-41"/>
        <w:rPr>
          <w:rFonts w:eastAsia="楷体_GB2312"/>
          <w:color w:val="000000"/>
          <w:sz w:val="24"/>
        </w:rPr>
      </w:pPr>
    </w:p>
    <w:p>
      <w:pPr>
        <w:numPr>
          <w:ilvl w:val="2"/>
          <w:numId w:val="2"/>
        </w:numPr>
        <w:tabs>
          <w:tab w:val="left" w:pos="1080"/>
        </w:tabs>
        <w:spacing w:line="380" w:lineRule="atLeast"/>
        <w:ind w:left="1620" w:hanging="720"/>
        <w:rPr>
          <w:rFonts w:eastAsia="楷体_GB2312"/>
          <w:bCs/>
          <w:color w:val="000000"/>
          <w:sz w:val="24"/>
        </w:rPr>
      </w:pPr>
      <w:r>
        <w:rPr>
          <w:rFonts w:hint="eastAsia" w:eastAsia="楷体_GB2312" w:cs="楷体_GB2312"/>
          <w:bCs/>
          <w:color w:val="000000"/>
          <w:sz w:val="24"/>
        </w:rPr>
        <w:t>审慎调查和独立判断保证：乙方确认，基于标的债权的特殊性，甲方就标的债权只进行现状出售，乙方独立判断标的债权法律上的有效性和商业价值。乙方在购买标的债权前，已经认真审阅了截至基准日的标的债权文件，对标的债权的现状进行了审慎的调查，乙方完全知悉并接受标的债权的所有风险、瑕疵。</w:t>
      </w:r>
    </w:p>
    <w:p>
      <w:pPr>
        <w:tabs>
          <w:tab w:val="left" w:pos="1080"/>
        </w:tabs>
        <w:spacing w:line="380" w:lineRule="atLeast"/>
        <w:ind w:left="1620"/>
        <w:rPr>
          <w:rFonts w:eastAsia="楷体_GB2312"/>
          <w:bCs/>
          <w:color w:val="000000"/>
          <w:sz w:val="24"/>
        </w:rPr>
      </w:pPr>
    </w:p>
    <w:p>
      <w:pPr>
        <w:numPr>
          <w:ilvl w:val="2"/>
          <w:numId w:val="2"/>
        </w:numPr>
        <w:tabs>
          <w:tab w:val="left" w:pos="1080"/>
        </w:tabs>
        <w:spacing w:line="380" w:lineRule="atLeast"/>
        <w:ind w:left="1620" w:hanging="720"/>
        <w:rPr>
          <w:rFonts w:eastAsia="楷体_GB2312"/>
          <w:bCs/>
          <w:color w:val="000000"/>
          <w:sz w:val="24"/>
        </w:rPr>
      </w:pPr>
      <w:r>
        <w:rPr>
          <w:rFonts w:hint="eastAsia" w:eastAsia="楷体_GB2312" w:cs="楷体_GB2312"/>
          <w:color w:val="000000"/>
          <w:sz w:val="24"/>
        </w:rPr>
        <w:t>依法行使权利保证：乙方保证严格按照相关法律、法规、政策的规定，对受让的标的债权行使权利。</w:t>
      </w:r>
    </w:p>
    <w:p>
      <w:pPr>
        <w:pStyle w:val="17"/>
        <w:ind w:firstLine="482"/>
        <w:rPr>
          <w:rFonts w:eastAsia="楷体_GB2312"/>
          <w:b/>
          <w:bCs/>
          <w:color w:val="000000"/>
          <w:sz w:val="24"/>
        </w:rPr>
      </w:pPr>
    </w:p>
    <w:p>
      <w:pPr>
        <w:spacing w:line="380" w:lineRule="atLeast"/>
        <w:rPr>
          <w:rFonts w:eastAsia="楷体_GB2312"/>
          <w:color w:val="000000"/>
          <w:sz w:val="24"/>
        </w:rPr>
      </w:pPr>
    </w:p>
    <w:p>
      <w:pPr>
        <w:numPr>
          <w:ilvl w:val="0"/>
          <w:numId w:val="2"/>
        </w:numPr>
        <w:tabs>
          <w:tab w:val="left" w:pos="1260"/>
        </w:tabs>
        <w:snapToGrid w:val="0"/>
        <w:spacing w:line="380" w:lineRule="atLeast"/>
        <w:ind w:right="-87"/>
        <w:rPr>
          <w:rFonts w:eastAsia="楷体_GB2312"/>
          <w:b/>
          <w:bCs/>
          <w:color w:val="000000"/>
          <w:sz w:val="24"/>
        </w:rPr>
      </w:pPr>
      <w:bookmarkStart w:id="7" w:name="_Ref118455871"/>
      <w:r>
        <w:rPr>
          <w:rFonts w:hint="eastAsia" w:eastAsia="楷体_GB2312" w:cs="楷体_GB2312"/>
          <w:b/>
          <w:bCs/>
          <w:color w:val="000000"/>
          <w:sz w:val="24"/>
        </w:rPr>
        <w:t>违约责任</w:t>
      </w:r>
      <w:bookmarkEnd w:id="7"/>
    </w:p>
    <w:p>
      <w:pPr>
        <w:spacing w:line="380" w:lineRule="atLeast"/>
        <w:ind w:left="360"/>
        <w:rPr>
          <w:rFonts w:ascii="楷体_GB2312" w:eastAsia="楷体_GB2312" w:cs="楷体_GB2312"/>
          <w:color w:val="000000"/>
          <w:sz w:val="24"/>
        </w:rPr>
      </w:pPr>
      <w:r>
        <w:rPr>
          <w:rFonts w:eastAsia="楷体_GB2312" w:cs="楷体_GB2312"/>
          <w:color w:val="000000"/>
          <w:sz w:val="24"/>
        </w:rPr>
        <w:t>9.1</w:t>
      </w:r>
      <w:r>
        <w:rPr>
          <w:rFonts w:hint="eastAsia" w:eastAsia="楷体_GB2312" w:cs="楷体_GB2312"/>
          <w:color w:val="000000"/>
          <w:sz w:val="24"/>
        </w:rPr>
        <w:t>发生下列任一情形的，均视为甲方违约：</w:t>
      </w:r>
    </w:p>
    <w:p>
      <w:pPr>
        <w:spacing w:before="163" w:beforeLines="50" w:after="163" w:afterLines="50" w:line="360" w:lineRule="auto"/>
        <w:ind w:left="958" w:leftChars="285" w:hanging="360" w:hangingChars="150"/>
        <w:rPr>
          <w:rFonts w:eastAsia="楷体_GB2312" w:cs="楷体_GB2312"/>
          <w:color w:val="000000"/>
          <w:sz w:val="24"/>
        </w:rPr>
      </w:pPr>
      <w:r>
        <w:rPr>
          <w:rFonts w:eastAsia="楷体_GB2312" w:cs="楷体_GB2312"/>
          <w:color w:val="000000"/>
          <w:sz w:val="24"/>
        </w:rPr>
        <w:t>9.1.1</w:t>
      </w:r>
      <w:r>
        <w:rPr>
          <w:rFonts w:hint="eastAsia" w:eastAsia="楷体_GB2312" w:cs="楷体_GB2312"/>
          <w:color w:val="000000"/>
          <w:sz w:val="24"/>
        </w:rPr>
        <w:t>如果甲方未按本合同约定履行义务的，在接到乙方发出的违约催告通知后（五）日内，甲方仍旧不能消除违约情形，则乙方有权解除本合同，甲方应退还乙方已经支付的转让价款，并向乙方支付相应的违约金，违约金数额为转让价款的</w:t>
      </w:r>
      <w:r>
        <w:rPr>
          <w:rFonts w:eastAsia="楷体_GB2312" w:cs="楷体_GB2312"/>
          <w:color w:val="000000"/>
          <w:sz w:val="24"/>
        </w:rPr>
        <w:t>3</w:t>
      </w:r>
      <w:r>
        <w:rPr>
          <w:rFonts w:hint="eastAsia" w:eastAsia="楷体_GB2312" w:cs="楷体_GB2312"/>
          <w:color w:val="000000"/>
          <w:sz w:val="24"/>
        </w:rPr>
        <w:t>‰。</w:t>
      </w:r>
    </w:p>
    <w:p>
      <w:pPr>
        <w:adjustRightInd w:val="0"/>
        <w:spacing w:line="380" w:lineRule="atLeast"/>
        <w:rPr>
          <w:rFonts w:eastAsia="楷体_GB2312"/>
          <w:color w:val="000000"/>
          <w:sz w:val="24"/>
        </w:rPr>
      </w:pPr>
    </w:p>
    <w:p>
      <w:pPr>
        <w:spacing w:line="380" w:lineRule="atLeast"/>
        <w:ind w:left="425"/>
        <w:rPr>
          <w:rFonts w:eastAsia="楷体_GB2312"/>
          <w:bCs/>
          <w:color w:val="000000"/>
          <w:sz w:val="24"/>
        </w:rPr>
      </w:pPr>
      <w:r>
        <w:rPr>
          <w:rFonts w:eastAsia="楷体_GB2312" w:cs="楷体_GB2312"/>
          <w:bCs/>
          <w:color w:val="000000"/>
          <w:sz w:val="24"/>
        </w:rPr>
        <w:t>9.2</w:t>
      </w:r>
      <w:r>
        <w:rPr>
          <w:rFonts w:hint="eastAsia" w:eastAsia="楷体_GB2312" w:cs="楷体_GB2312"/>
          <w:bCs/>
          <w:color w:val="000000"/>
          <w:sz w:val="24"/>
        </w:rPr>
        <w:t>乙方的违约责任</w:t>
      </w:r>
      <w:bookmarkStart w:id="8" w:name="_Ref118455973"/>
    </w:p>
    <w:p>
      <w:pPr>
        <w:spacing w:before="163" w:beforeLines="50" w:after="163" w:afterLines="50" w:line="360" w:lineRule="auto"/>
        <w:ind w:firstLine="480" w:firstLineChars="200"/>
        <w:rPr>
          <w:rFonts w:eastAsia="楷体_GB2312" w:cs="楷体_GB2312"/>
          <w:color w:val="000000"/>
          <w:sz w:val="24"/>
        </w:rPr>
      </w:pPr>
      <w:r>
        <w:rPr>
          <w:rFonts w:eastAsia="楷体_GB2312"/>
          <w:bCs/>
          <w:color w:val="000000"/>
          <w:sz w:val="24"/>
        </w:rPr>
        <w:t>9.</w:t>
      </w:r>
      <w:r>
        <w:rPr>
          <w:rFonts w:eastAsia="楷体_GB2312" w:cs="楷体_GB2312"/>
          <w:color w:val="000000"/>
          <w:sz w:val="24"/>
        </w:rPr>
        <w:t>2.1</w:t>
      </w:r>
      <w:r>
        <w:rPr>
          <w:rFonts w:hint="eastAsia" w:eastAsia="楷体_GB2312" w:cs="楷体_GB2312"/>
          <w:color w:val="000000"/>
          <w:sz w:val="24"/>
        </w:rPr>
        <w:t>如乙方违反付款义务，未能按时足额支付相应款项，则每逾期一日，乙方按应付未付价款的万分之五向甲方支付滞纳金。</w:t>
      </w:r>
      <w:bookmarkEnd w:id="8"/>
    </w:p>
    <w:p>
      <w:pPr>
        <w:spacing w:before="163" w:beforeLines="50" w:after="163" w:afterLines="50" w:line="360" w:lineRule="auto"/>
        <w:ind w:firstLine="480" w:firstLineChars="200"/>
        <w:rPr>
          <w:rFonts w:eastAsia="楷体_GB2312" w:cs="楷体_GB2312"/>
          <w:color w:val="000000"/>
          <w:sz w:val="24"/>
        </w:rPr>
      </w:pPr>
      <w:r>
        <w:rPr>
          <w:rFonts w:eastAsia="楷体_GB2312" w:cs="楷体_GB2312"/>
          <w:color w:val="000000"/>
          <w:sz w:val="24"/>
        </w:rPr>
        <w:t>9.2.2</w:t>
      </w:r>
      <w:r>
        <w:rPr>
          <w:rFonts w:hint="eastAsia" w:eastAsia="楷体_GB2312" w:cs="楷体_GB2312"/>
          <w:color w:val="000000"/>
          <w:sz w:val="24"/>
        </w:rPr>
        <w:t>如乙方迟延（五）日未向甲方支付相应款项，则甲方有权选择：（</w:t>
      </w:r>
      <w:r>
        <w:rPr>
          <w:rFonts w:eastAsia="楷体_GB2312" w:cs="楷体_GB2312"/>
          <w:color w:val="000000"/>
          <w:sz w:val="24"/>
        </w:rPr>
        <w:t>1</w:t>
      </w:r>
      <w:r>
        <w:rPr>
          <w:rFonts w:hint="eastAsia" w:eastAsia="楷体_GB2312" w:cs="楷体_GB2312"/>
          <w:color w:val="000000"/>
          <w:sz w:val="24"/>
        </w:rPr>
        <w:t>）解除本合同，乙方应向甲方支付相应的违约金，违约金数额为转让价款的</w:t>
      </w:r>
      <w:r>
        <w:rPr>
          <w:rFonts w:eastAsia="楷体_GB2312" w:cs="楷体_GB2312"/>
          <w:color w:val="000000"/>
          <w:sz w:val="24"/>
        </w:rPr>
        <w:t>3</w:t>
      </w:r>
      <w:r>
        <w:rPr>
          <w:rFonts w:hint="eastAsia" w:eastAsia="楷体_GB2312" w:cs="楷体_GB2312"/>
          <w:color w:val="000000"/>
          <w:sz w:val="24"/>
        </w:rPr>
        <w:t>‰，如该数额不足以弥补甲方的实际损失，甲方有权继续向乙方追索。（</w:t>
      </w:r>
      <w:r>
        <w:rPr>
          <w:rFonts w:eastAsia="楷体_GB2312" w:cs="楷体_GB2312"/>
          <w:color w:val="000000"/>
          <w:sz w:val="24"/>
        </w:rPr>
        <w:t>2</w:t>
      </w:r>
      <w:r>
        <w:rPr>
          <w:rFonts w:hint="eastAsia" w:eastAsia="楷体_GB2312" w:cs="楷体_GB2312"/>
          <w:color w:val="000000"/>
          <w:sz w:val="24"/>
        </w:rPr>
        <w:t>）要求乙方继续履行本合同并按第</w:t>
      </w:r>
      <w:r>
        <w:fldChar w:fldCharType="begin"/>
      </w:r>
      <w:r>
        <w:instrText xml:space="preserve"> REF _Ref118455973 \r \h  \* MERGEFORMAT </w:instrText>
      </w:r>
      <w:r>
        <w:fldChar w:fldCharType="separate"/>
      </w:r>
      <w:r>
        <w:rPr>
          <w:rFonts w:eastAsia="楷体_GB2312" w:cs="楷体_GB2312"/>
          <w:color w:val="000000"/>
          <w:sz w:val="24"/>
        </w:rPr>
        <w:t>9.2.1</w:t>
      </w:r>
      <w:r>
        <w:rPr>
          <w:rFonts w:eastAsia="楷体_GB2312" w:cs="楷体_GB2312"/>
          <w:color w:val="000000"/>
          <w:sz w:val="24"/>
        </w:rPr>
        <w:fldChar w:fldCharType="end"/>
      </w:r>
      <w:r>
        <w:rPr>
          <w:rFonts w:hint="eastAsia" w:eastAsia="楷体_GB2312" w:cs="楷体_GB2312"/>
          <w:color w:val="000000"/>
          <w:sz w:val="24"/>
        </w:rPr>
        <w:t>条支付滞纳金。</w:t>
      </w:r>
      <w:bookmarkStart w:id="9" w:name="_Ref118455974"/>
      <w:bookmarkStart w:id="10" w:name="_Ref128540970"/>
    </w:p>
    <w:p>
      <w:pPr>
        <w:spacing w:before="163" w:beforeLines="50" w:after="163" w:afterLines="50" w:line="360" w:lineRule="auto"/>
        <w:ind w:firstLine="480" w:firstLineChars="200"/>
        <w:rPr>
          <w:rFonts w:eastAsia="楷体_GB2312" w:cs="楷体_GB2312"/>
          <w:color w:val="000000"/>
          <w:sz w:val="24"/>
        </w:rPr>
      </w:pPr>
      <w:r>
        <w:rPr>
          <w:rFonts w:eastAsia="楷体_GB2312" w:cs="楷体_GB2312"/>
          <w:color w:val="000000"/>
          <w:sz w:val="24"/>
        </w:rPr>
        <w:t>9.2.3</w:t>
      </w:r>
      <w:r>
        <w:rPr>
          <w:rFonts w:hint="eastAsia" w:eastAsia="楷体_GB2312" w:cs="楷体_GB2312"/>
          <w:color w:val="000000"/>
          <w:sz w:val="24"/>
        </w:rPr>
        <w:t>如果乙方违反本合同约定的声明和保证或其它义务，甲方有权选择：（</w:t>
      </w:r>
      <w:r>
        <w:rPr>
          <w:rFonts w:eastAsia="楷体_GB2312" w:cs="楷体_GB2312"/>
          <w:color w:val="000000"/>
          <w:sz w:val="24"/>
        </w:rPr>
        <w:t>1</w:t>
      </w:r>
      <w:r>
        <w:rPr>
          <w:rFonts w:hint="eastAsia" w:eastAsia="楷体_GB2312" w:cs="楷体_GB2312"/>
          <w:color w:val="000000"/>
          <w:sz w:val="24"/>
        </w:rPr>
        <w:t>）全部或部分解除本合同，乙方应按第</w:t>
      </w:r>
      <w:r>
        <w:rPr>
          <w:rFonts w:eastAsia="楷体_GB2312" w:cs="楷体_GB2312"/>
          <w:color w:val="000000"/>
          <w:sz w:val="24"/>
        </w:rPr>
        <w:t>9.2.2</w:t>
      </w:r>
      <w:r>
        <w:rPr>
          <w:rFonts w:hint="eastAsia" w:eastAsia="楷体_GB2312" w:cs="楷体_GB2312"/>
          <w:color w:val="000000"/>
          <w:sz w:val="24"/>
        </w:rPr>
        <w:t>条（</w:t>
      </w:r>
      <w:r>
        <w:rPr>
          <w:rFonts w:eastAsia="楷体_GB2312" w:cs="楷体_GB2312"/>
          <w:color w:val="000000"/>
          <w:sz w:val="24"/>
        </w:rPr>
        <w:t>1</w:t>
      </w:r>
      <w:r>
        <w:rPr>
          <w:rFonts w:hint="eastAsia" w:eastAsia="楷体_GB2312" w:cs="楷体_GB2312"/>
          <w:color w:val="000000"/>
          <w:sz w:val="24"/>
        </w:rPr>
        <w:t>）的约定向甲方支付违约金，并按甲方要求退还已经接收的相关资料，相应债权转回甲方的事宜并无需征得乙方同意。（</w:t>
      </w:r>
      <w:r>
        <w:rPr>
          <w:rFonts w:eastAsia="楷体_GB2312" w:cs="楷体_GB2312"/>
          <w:color w:val="000000"/>
          <w:sz w:val="24"/>
        </w:rPr>
        <w:t>2</w:t>
      </w:r>
      <w:r>
        <w:rPr>
          <w:rFonts w:hint="eastAsia" w:eastAsia="楷体_GB2312" w:cs="楷体_GB2312"/>
          <w:color w:val="000000"/>
          <w:sz w:val="24"/>
        </w:rPr>
        <w:t>）不解除本合同，要求乙方继续履行本合同并赔偿甲方的实际损失。</w:t>
      </w:r>
      <w:bookmarkEnd w:id="9"/>
      <w:bookmarkEnd w:id="10"/>
    </w:p>
    <w:p>
      <w:pPr>
        <w:spacing w:line="380" w:lineRule="atLeast"/>
        <w:ind w:left="1171" w:leftChars="258" w:hanging="630" w:hangingChars="300"/>
        <w:rPr>
          <w:szCs w:val="21"/>
        </w:rPr>
      </w:pPr>
    </w:p>
    <w:p>
      <w:pPr>
        <w:numPr>
          <w:ilvl w:val="0"/>
          <w:numId w:val="2"/>
        </w:numPr>
        <w:tabs>
          <w:tab w:val="left" w:pos="1260"/>
        </w:tabs>
        <w:snapToGrid w:val="0"/>
        <w:spacing w:line="380" w:lineRule="atLeast"/>
        <w:ind w:right="-87"/>
        <w:rPr>
          <w:rFonts w:eastAsia="楷体_GB2312"/>
          <w:b/>
          <w:bCs/>
          <w:color w:val="000000"/>
          <w:sz w:val="24"/>
        </w:rPr>
      </w:pPr>
      <w:r>
        <w:rPr>
          <w:rFonts w:hint="eastAsia" w:eastAsia="楷体_GB2312" w:cs="楷体_GB2312"/>
          <w:b/>
          <w:bCs/>
          <w:color w:val="000000"/>
          <w:sz w:val="24"/>
        </w:rPr>
        <w:t>保密</w:t>
      </w:r>
    </w:p>
    <w:p>
      <w:pPr>
        <w:adjustRightInd w:val="0"/>
        <w:spacing w:line="380" w:lineRule="atLeast"/>
        <w:ind w:left="478" w:leftChars="228" w:firstLine="480" w:firstLineChars="200"/>
        <w:rPr>
          <w:rFonts w:eastAsia="楷体_GB2312"/>
          <w:color w:val="000000"/>
          <w:sz w:val="24"/>
        </w:rPr>
      </w:pPr>
      <w:r>
        <w:rPr>
          <w:rFonts w:hint="eastAsia" w:eastAsia="楷体_GB2312" w:cs="楷体_GB2312"/>
          <w:color w:val="000000"/>
          <w:sz w:val="24"/>
        </w:rPr>
        <w:t>基于本次交易所获得的包括本协议在内的对方任何商业秘密，任何一方不得向本协议主体以外的其他方透露，根据法律法规及有关监管机构要求应当进行披露的除外。本保密项下的保密期限是永久的，不因双方业务合作关系的变化而中止或终结。</w:t>
      </w:r>
    </w:p>
    <w:p>
      <w:pPr>
        <w:adjustRightInd w:val="0"/>
        <w:spacing w:line="380" w:lineRule="atLeast"/>
        <w:ind w:left="478" w:leftChars="228" w:firstLine="360" w:firstLineChars="150"/>
        <w:rPr>
          <w:rFonts w:eastAsia="楷体_GB2312"/>
          <w:color w:val="000000"/>
          <w:sz w:val="24"/>
        </w:rPr>
      </w:pPr>
      <w:r>
        <w:rPr>
          <w:rFonts w:hint="eastAsia" w:eastAsia="楷体_GB2312" w:cs="楷体_GB2312"/>
          <w:color w:val="000000"/>
          <w:sz w:val="24"/>
        </w:rPr>
        <w:t>双方为履行本协议而各自委托的专业机构和人员亦承担上述保密义务，</w:t>
      </w:r>
      <w:r>
        <w:rPr>
          <w:rFonts w:eastAsia="楷体_GB2312"/>
          <w:color w:val="000000"/>
          <w:sz w:val="24"/>
        </w:rPr>
        <w:t xml:space="preserve"> </w:t>
      </w:r>
    </w:p>
    <w:p>
      <w:pPr>
        <w:adjustRightInd w:val="0"/>
        <w:spacing w:line="380" w:lineRule="atLeast"/>
        <w:ind w:left="-630" w:leftChars="-300" w:firstLine="1080" w:firstLineChars="450"/>
        <w:rPr>
          <w:rFonts w:eastAsia="楷体_GB2312" w:cs="楷体_GB2312"/>
          <w:color w:val="000000"/>
          <w:sz w:val="24"/>
        </w:rPr>
      </w:pPr>
      <w:r>
        <w:rPr>
          <w:rFonts w:hint="eastAsia" w:eastAsia="楷体_GB2312" w:cs="楷体_GB2312"/>
          <w:color w:val="000000"/>
          <w:sz w:val="24"/>
        </w:rPr>
        <w:t>任何一方违反保密义务，守约方有权追究违约方相应的违约责任。</w:t>
      </w:r>
    </w:p>
    <w:p>
      <w:pPr>
        <w:adjustRightInd w:val="0"/>
        <w:spacing w:line="380" w:lineRule="atLeast"/>
        <w:ind w:left="-630" w:leftChars="-300" w:firstLine="1080" w:firstLineChars="450"/>
        <w:rPr>
          <w:rFonts w:eastAsia="楷体_GB2312"/>
          <w:color w:val="000000"/>
          <w:sz w:val="24"/>
        </w:rPr>
      </w:pPr>
    </w:p>
    <w:p>
      <w:pPr>
        <w:numPr>
          <w:ilvl w:val="0"/>
          <w:numId w:val="2"/>
        </w:numPr>
        <w:tabs>
          <w:tab w:val="left" w:pos="1260"/>
        </w:tabs>
        <w:snapToGrid w:val="0"/>
        <w:spacing w:line="380" w:lineRule="atLeast"/>
        <w:ind w:right="-87"/>
        <w:rPr>
          <w:rFonts w:eastAsia="楷体_GB2312"/>
          <w:b/>
          <w:bCs/>
          <w:color w:val="000000"/>
          <w:sz w:val="24"/>
        </w:rPr>
      </w:pPr>
      <w:r>
        <w:rPr>
          <w:rFonts w:hint="eastAsia" w:eastAsia="楷体_GB2312" w:cs="楷体_GB2312"/>
          <w:b/>
          <w:bCs/>
          <w:color w:val="000000"/>
          <w:sz w:val="24"/>
        </w:rPr>
        <w:t>税费负担</w:t>
      </w:r>
    </w:p>
    <w:p>
      <w:pPr>
        <w:snapToGrid w:val="0"/>
        <w:spacing w:line="380" w:lineRule="atLeast"/>
        <w:ind w:right="-87"/>
        <w:rPr>
          <w:rFonts w:eastAsia="楷体_GB2312"/>
          <w:color w:val="000000"/>
          <w:sz w:val="24"/>
        </w:rPr>
      </w:pPr>
      <w:r>
        <w:rPr>
          <w:rFonts w:eastAsia="楷体_GB2312"/>
          <w:color w:val="000000"/>
          <w:sz w:val="24"/>
        </w:rPr>
        <w:tab/>
      </w:r>
      <w:r>
        <w:rPr>
          <w:rFonts w:hint="eastAsia" w:eastAsia="楷体_GB2312" w:cs="楷体_GB2312"/>
          <w:color w:val="000000"/>
          <w:sz w:val="24"/>
        </w:rPr>
        <w:t>双方根据法律、法规规定各自承担因签署、履行本协议所产生的税费，但本协议另有约定的除外。</w:t>
      </w:r>
    </w:p>
    <w:p>
      <w:pPr>
        <w:snapToGrid w:val="0"/>
        <w:spacing w:line="380" w:lineRule="atLeast"/>
        <w:ind w:right="-87"/>
        <w:rPr>
          <w:rFonts w:eastAsia="楷体_GB2312"/>
          <w:b/>
          <w:bCs/>
          <w:color w:val="000000"/>
          <w:sz w:val="24"/>
        </w:rPr>
      </w:pPr>
    </w:p>
    <w:p>
      <w:pPr>
        <w:numPr>
          <w:ilvl w:val="0"/>
          <w:numId w:val="2"/>
        </w:numPr>
        <w:tabs>
          <w:tab w:val="left" w:pos="1260"/>
        </w:tabs>
        <w:snapToGrid w:val="0"/>
        <w:spacing w:line="380" w:lineRule="atLeast"/>
        <w:ind w:right="-87"/>
        <w:rPr>
          <w:rFonts w:eastAsia="楷体_GB2312"/>
          <w:b/>
          <w:bCs/>
          <w:color w:val="000000"/>
          <w:sz w:val="24"/>
        </w:rPr>
      </w:pPr>
      <w:r>
        <w:rPr>
          <w:rFonts w:hint="eastAsia" w:eastAsia="楷体_GB2312" w:cs="楷体_GB2312"/>
          <w:b/>
          <w:bCs/>
          <w:color w:val="000000"/>
          <w:sz w:val="24"/>
        </w:rPr>
        <w:t>不可抗力</w:t>
      </w:r>
    </w:p>
    <w:p>
      <w:pPr>
        <w:numPr>
          <w:ilvl w:val="1"/>
          <w:numId w:val="2"/>
        </w:numPr>
        <w:spacing w:line="380" w:lineRule="atLeast"/>
        <w:rPr>
          <w:rFonts w:eastAsia="楷体_GB2312"/>
          <w:color w:val="000000"/>
          <w:sz w:val="24"/>
        </w:rPr>
      </w:pPr>
      <w:r>
        <w:rPr>
          <w:rFonts w:hint="eastAsia" w:eastAsia="楷体_GB2312" w:cs="楷体_GB2312"/>
          <w:color w:val="000000"/>
          <w:sz w:val="24"/>
        </w:rPr>
        <w:t>定义</w:t>
      </w:r>
    </w:p>
    <w:p>
      <w:pPr>
        <w:tabs>
          <w:tab w:val="left" w:pos="980"/>
        </w:tabs>
        <w:spacing w:line="380" w:lineRule="atLeast"/>
        <w:ind w:left="980"/>
        <w:rPr>
          <w:rFonts w:eastAsia="楷体_GB2312"/>
          <w:color w:val="000000"/>
          <w:sz w:val="24"/>
        </w:rPr>
      </w:pPr>
      <w:r>
        <w:rPr>
          <w:rFonts w:hint="eastAsia" w:eastAsia="楷体_GB2312" w:cs="楷体_GB2312"/>
          <w:color w:val="000000"/>
          <w:sz w:val="24"/>
        </w:rPr>
        <w:t>本合同所称的不可抗力，是指依合同法规定在本合同签订并生效后，非由于甲方或者乙方的过失或疏忽，发生了甲乙双方不能预见、不能避免并不能克服的使本合同不能履行或不能如期履行的客观情况。</w:t>
      </w:r>
    </w:p>
    <w:p>
      <w:pPr>
        <w:tabs>
          <w:tab w:val="left" w:pos="980"/>
        </w:tabs>
        <w:spacing w:line="380" w:lineRule="atLeast"/>
        <w:ind w:left="480"/>
        <w:rPr>
          <w:rFonts w:eastAsia="楷体_GB2312"/>
          <w:color w:val="000000"/>
          <w:sz w:val="24"/>
        </w:rPr>
      </w:pPr>
    </w:p>
    <w:p>
      <w:pPr>
        <w:numPr>
          <w:ilvl w:val="1"/>
          <w:numId w:val="2"/>
        </w:numPr>
        <w:spacing w:line="380" w:lineRule="atLeast"/>
        <w:rPr>
          <w:rFonts w:eastAsia="楷体_GB2312"/>
          <w:color w:val="000000"/>
          <w:sz w:val="24"/>
        </w:rPr>
      </w:pPr>
      <w:r>
        <w:rPr>
          <w:rFonts w:hint="eastAsia" w:eastAsia="楷体_GB2312" w:cs="楷体_GB2312"/>
          <w:color w:val="000000"/>
          <w:sz w:val="24"/>
        </w:rPr>
        <w:t>通知义务</w:t>
      </w:r>
    </w:p>
    <w:p>
      <w:pPr>
        <w:tabs>
          <w:tab w:val="left" w:pos="980"/>
        </w:tabs>
        <w:spacing w:line="380" w:lineRule="atLeast"/>
        <w:ind w:left="980"/>
        <w:rPr>
          <w:rFonts w:eastAsia="楷体_GB2312"/>
          <w:color w:val="000000"/>
          <w:sz w:val="24"/>
        </w:rPr>
      </w:pPr>
      <w:r>
        <w:rPr>
          <w:rFonts w:hint="eastAsia" w:eastAsia="楷体_GB2312" w:cs="楷体_GB2312"/>
          <w:color w:val="000000"/>
          <w:sz w:val="24"/>
        </w:rPr>
        <w:t>当不可抗力事件发生并影响本合同的履行时，发生事件的一方当事人应当立即将事件情况如实通知对方。</w:t>
      </w:r>
    </w:p>
    <w:p>
      <w:pPr>
        <w:tabs>
          <w:tab w:val="left" w:pos="980"/>
        </w:tabs>
        <w:spacing w:line="380" w:lineRule="atLeast"/>
        <w:ind w:left="480"/>
        <w:rPr>
          <w:rFonts w:eastAsia="楷体_GB2312"/>
          <w:color w:val="000000"/>
          <w:sz w:val="24"/>
        </w:rPr>
      </w:pPr>
    </w:p>
    <w:p>
      <w:pPr>
        <w:numPr>
          <w:ilvl w:val="1"/>
          <w:numId w:val="2"/>
        </w:numPr>
        <w:spacing w:line="380" w:lineRule="atLeast"/>
        <w:rPr>
          <w:rFonts w:eastAsia="楷体_GB2312"/>
          <w:color w:val="000000"/>
          <w:sz w:val="24"/>
        </w:rPr>
      </w:pPr>
      <w:r>
        <w:rPr>
          <w:rFonts w:hint="eastAsia" w:eastAsia="楷体_GB2312" w:cs="楷体_GB2312"/>
          <w:color w:val="000000"/>
          <w:sz w:val="24"/>
        </w:rPr>
        <w:t>证明责任</w:t>
      </w:r>
    </w:p>
    <w:p>
      <w:pPr>
        <w:tabs>
          <w:tab w:val="left" w:pos="980"/>
        </w:tabs>
        <w:spacing w:line="380" w:lineRule="atLeast"/>
        <w:ind w:left="980"/>
        <w:rPr>
          <w:rFonts w:eastAsia="楷体_GB2312"/>
          <w:color w:val="000000"/>
          <w:sz w:val="24"/>
        </w:rPr>
      </w:pPr>
      <w:r>
        <w:rPr>
          <w:rFonts w:hint="eastAsia" w:eastAsia="楷体_GB2312" w:cs="楷体_GB2312"/>
          <w:color w:val="000000"/>
          <w:sz w:val="24"/>
        </w:rPr>
        <w:t>发生不可抗力事件的一方当事人应当在不可抗力事件发生十五日内请求并获得事件发生地的政府有关部门或公证机构出具的证明文件。</w:t>
      </w:r>
    </w:p>
    <w:p>
      <w:pPr>
        <w:tabs>
          <w:tab w:val="left" w:pos="980"/>
        </w:tabs>
        <w:spacing w:line="380" w:lineRule="atLeast"/>
        <w:ind w:left="979"/>
        <w:rPr>
          <w:rFonts w:eastAsia="楷体_GB2312"/>
          <w:color w:val="000000"/>
          <w:sz w:val="24"/>
        </w:rPr>
      </w:pPr>
    </w:p>
    <w:p>
      <w:pPr>
        <w:numPr>
          <w:ilvl w:val="1"/>
          <w:numId w:val="2"/>
        </w:numPr>
        <w:spacing w:line="380" w:lineRule="atLeast"/>
        <w:rPr>
          <w:rFonts w:eastAsia="楷体_GB2312"/>
          <w:color w:val="000000"/>
          <w:sz w:val="24"/>
        </w:rPr>
      </w:pPr>
      <w:r>
        <w:rPr>
          <w:rFonts w:hint="eastAsia" w:eastAsia="楷体_GB2312" w:cs="楷体_GB2312"/>
          <w:color w:val="000000"/>
          <w:sz w:val="24"/>
        </w:rPr>
        <w:t>法律后果</w:t>
      </w:r>
    </w:p>
    <w:p>
      <w:pPr>
        <w:tabs>
          <w:tab w:val="left" w:pos="1440"/>
        </w:tabs>
        <w:spacing w:line="380" w:lineRule="atLeast"/>
        <w:ind w:left="980"/>
        <w:rPr>
          <w:rFonts w:eastAsia="楷体_GB2312"/>
          <w:color w:val="000000"/>
          <w:sz w:val="24"/>
        </w:rPr>
      </w:pPr>
      <w:r>
        <w:rPr>
          <w:rFonts w:hint="eastAsia" w:eastAsia="楷体_GB2312" w:cs="楷体_GB2312"/>
          <w:color w:val="000000"/>
          <w:sz w:val="24"/>
        </w:rPr>
        <w:t>因不可抗力不能履行合同的，根据不可抗力的影响，部分或者全部免除责任，但法律另有规定的除外。</w:t>
      </w:r>
    </w:p>
    <w:p>
      <w:pPr>
        <w:tabs>
          <w:tab w:val="left" w:pos="1260"/>
        </w:tabs>
        <w:snapToGrid w:val="0"/>
        <w:spacing w:line="380" w:lineRule="atLeast"/>
        <w:ind w:right="-87"/>
        <w:rPr>
          <w:rFonts w:eastAsia="楷体_GB2312"/>
          <w:b/>
          <w:bCs/>
          <w:color w:val="0000FF"/>
          <w:sz w:val="24"/>
        </w:rPr>
      </w:pPr>
    </w:p>
    <w:p>
      <w:pPr>
        <w:numPr>
          <w:ilvl w:val="0"/>
          <w:numId w:val="2"/>
        </w:numPr>
        <w:tabs>
          <w:tab w:val="left" w:pos="1260"/>
        </w:tabs>
        <w:snapToGrid w:val="0"/>
        <w:spacing w:line="380" w:lineRule="atLeast"/>
        <w:ind w:right="-87"/>
        <w:rPr>
          <w:rFonts w:eastAsia="楷体_GB2312"/>
          <w:b/>
          <w:bCs/>
          <w:sz w:val="24"/>
        </w:rPr>
      </w:pPr>
      <w:r>
        <w:rPr>
          <w:rFonts w:hint="eastAsia" w:eastAsia="楷体_GB2312" w:cs="楷体_GB2312"/>
          <w:b/>
          <w:bCs/>
          <w:sz w:val="24"/>
        </w:rPr>
        <w:t>法律适用</w:t>
      </w:r>
    </w:p>
    <w:p>
      <w:pPr>
        <w:snapToGrid w:val="0"/>
        <w:spacing w:line="380" w:lineRule="atLeast"/>
        <w:ind w:right="-87" w:firstLine="420"/>
        <w:rPr>
          <w:rFonts w:eastAsia="楷体_GB2312"/>
          <w:color w:val="000000"/>
          <w:sz w:val="24"/>
        </w:rPr>
      </w:pPr>
      <w:r>
        <w:rPr>
          <w:rFonts w:hint="eastAsia" w:eastAsia="楷体_GB2312" w:cs="楷体_GB2312"/>
          <w:color w:val="000000"/>
          <w:sz w:val="24"/>
        </w:rPr>
        <w:t>本合同的成立、效力、解释和履行适用中华人民共和国法律。</w:t>
      </w:r>
    </w:p>
    <w:p>
      <w:pPr>
        <w:snapToGrid w:val="0"/>
        <w:spacing w:line="380" w:lineRule="atLeast"/>
        <w:ind w:right="-87"/>
        <w:rPr>
          <w:rFonts w:eastAsia="楷体_GB2312"/>
          <w:b/>
          <w:bCs/>
          <w:sz w:val="24"/>
        </w:rPr>
      </w:pPr>
    </w:p>
    <w:p>
      <w:pPr>
        <w:numPr>
          <w:ilvl w:val="0"/>
          <w:numId w:val="2"/>
        </w:numPr>
        <w:tabs>
          <w:tab w:val="left" w:pos="1260"/>
        </w:tabs>
        <w:snapToGrid w:val="0"/>
        <w:spacing w:line="380" w:lineRule="atLeast"/>
        <w:ind w:right="-87"/>
        <w:rPr>
          <w:rFonts w:eastAsia="楷体_GB2312"/>
          <w:b/>
          <w:bCs/>
          <w:sz w:val="24"/>
        </w:rPr>
      </w:pPr>
      <w:r>
        <w:rPr>
          <w:rFonts w:hint="eastAsia" w:eastAsia="楷体_GB2312" w:cs="楷体_GB2312"/>
          <w:b/>
          <w:bCs/>
          <w:sz w:val="24"/>
        </w:rPr>
        <w:t>争议解决</w:t>
      </w:r>
    </w:p>
    <w:p>
      <w:pPr>
        <w:spacing w:line="380" w:lineRule="atLeast"/>
        <w:ind w:left="420" w:firstLine="480" w:firstLineChars="200"/>
        <w:rPr>
          <w:rFonts w:eastAsia="楷体_GB2312"/>
          <w:color w:val="000000"/>
          <w:sz w:val="24"/>
        </w:rPr>
      </w:pPr>
      <w:r>
        <w:rPr>
          <w:rFonts w:hint="eastAsia" w:eastAsia="楷体_GB2312" w:cs="楷体_GB2312"/>
          <w:sz w:val="24"/>
        </w:rPr>
        <w:t>因本合同引起或与本合同有关的一切争议，双方均应友好协商解决；</w:t>
      </w:r>
      <w:r>
        <w:rPr>
          <w:rFonts w:hint="eastAsia" w:eastAsia="楷体_GB2312" w:cs="楷体_GB2312"/>
          <w:color w:val="000000"/>
          <w:sz w:val="24"/>
        </w:rPr>
        <w:t>如果不能解决的，任何一方均有权选择下列【</w:t>
      </w:r>
      <w:r>
        <w:rPr>
          <w:rFonts w:eastAsia="楷体_GB2312"/>
          <w:color w:val="000000"/>
          <w:sz w:val="24"/>
        </w:rPr>
        <w:t>A</w:t>
      </w:r>
      <w:r>
        <w:rPr>
          <w:rFonts w:hint="eastAsia" w:eastAsia="楷体_GB2312" w:cs="楷体_GB2312"/>
          <w:color w:val="000000"/>
          <w:sz w:val="24"/>
        </w:rPr>
        <w:t>】争议解决方式：</w:t>
      </w:r>
    </w:p>
    <w:p>
      <w:pPr>
        <w:spacing w:line="380" w:lineRule="atLeast"/>
        <w:ind w:left="420"/>
        <w:rPr>
          <w:rFonts w:eastAsia="楷体_GB2312"/>
          <w:color w:val="000000"/>
          <w:sz w:val="24"/>
        </w:rPr>
      </w:pPr>
    </w:p>
    <w:p>
      <w:pPr>
        <w:numPr>
          <w:ilvl w:val="0"/>
          <w:numId w:val="3"/>
        </w:numPr>
        <w:tabs>
          <w:tab w:val="left" w:pos="1080"/>
        </w:tabs>
        <w:spacing w:line="380" w:lineRule="atLeast"/>
        <w:ind w:hanging="1090"/>
        <w:rPr>
          <w:rFonts w:eastAsia="楷体_GB2312"/>
          <w:color w:val="000000"/>
          <w:sz w:val="24"/>
        </w:rPr>
      </w:pPr>
      <w:r>
        <w:rPr>
          <w:rFonts w:hint="eastAsia" w:eastAsia="楷体_GB2312" w:cs="楷体_GB2312"/>
          <w:color w:val="000000"/>
          <w:sz w:val="24"/>
        </w:rPr>
        <w:t>向甲方所在地有管辖权的人民法院提起诉讼。</w:t>
      </w:r>
    </w:p>
    <w:p>
      <w:pPr>
        <w:tabs>
          <w:tab w:val="left" w:pos="1080"/>
        </w:tabs>
        <w:spacing w:line="380" w:lineRule="atLeast"/>
        <w:ind w:left="420" w:hanging="1090"/>
        <w:rPr>
          <w:rFonts w:eastAsia="楷体_GB2312"/>
          <w:color w:val="000000"/>
          <w:sz w:val="24"/>
        </w:rPr>
      </w:pPr>
    </w:p>
    <w:p>
      <w:pPr>
        <w:numPr>
          <w:ilvl w:val="0"/>
          <w:numId w:val="3"/>
        </w:numPr>
        <w:tabs>
          <w:tab w:val="left" w:pos="1080"/>
        </w:tabs>
        <w:spacing w:line="380" w:lineRule="atLeast"/>
        <w:ind w:hanging="1090"/>
        <w:rPr>
          <w:rFonts w:eastAsia="楷体_GB2312"/>
          <w:color w:val="000000"/>
          <w:sz w:val="24"/>
        </w:rPr>
      </w:pPr>
      <w:r>
        <w:rPr>
          <w:rFonts w:hint="eastAsia" w:eastAsia="楷体_GB2312" w:cs="楷体_GB2312"/>
          <w:color w:val="000000"/>
          <w:sz w:val="24"/>
        </w:rPr>
        <w:t>向合同签订地有管辖权的人民法院提起诉讼。</w:t>
      </w:r>
    </w:p>
    <w:p>
      <w:pPr>
        <w:tabs>
          <w:tab w:val="left" w:pos="1080"/>
        </w:tabs>
        <w:spacing w:line="380" w:lineRule="atLeast"/>
        <w:ind w:left="420" w:hanging="1090"/>
        <w:rPr>
          <w:rFonts w:eastAsia="楷体_GB2312"/>
          <w:color w:val="000000"/>
          <w:sz w:val="24"/>
        </w:rPr>
      </w:pPr>
    </w:p>
    <w:p>
      <w:pPr>
        <w:numPr>
          <w:ilvl w:val="0"/>
          <w:numId w:val="3"/>
        </w:numPr>
        <w:tabs>
          <w:tab w:val="left" w:pos="1080"/>
        </w:tabs>
        <w:spacing w:line="380" w:lineRule="atLeast"/>
        <w:ind w:hanging="1090"/>
        <w:rPr>
          <w:rFonts w:eastAsia="楷体_GB2312"/>
          <w:color w:val="000000"/>
          <w:sz w:val="24"/>
        </w:rPr>
      </w:pPr>
      <w:r>
        <w:rPr>
          <w:rFonts w:hint="eastAsia" w:eastAsia="楷体_GB2312" w:cs="楷体_GB2312"/>
          <w:color w:val="000000"/>
          <w:sz w:val="24"/>
        </w:rPr>
        <w:t>向【青岛市】仲裁委员会提起仲裁。</w:t>
      </w:r>
    </w:p>
    <w:p>
      <w:pPr>
        <w:tabs>
          <w:tab w:val="left" w:pos="980"/>
        </w:tabs>
        <w:adjustRightInd w:val="0"/>
        <w:spacing w:line="380" w:lineRule="atLeast"/>
        <w:ind w:left="980"/>
        <w:textAlignment w:val="baseline"/>
        <w:rPr>
          <w:rFonts w:eastAsia="楷体_GB2312"/>
          <w:color w:val="000000"/>
          <w:sz w:val="24"/>
        </w:rPr>
      </w:pPr>
    </w:p>
    <w:p>
      <w:pPr>
        <w:numPr>
          <w:ilvl w:val="0"/>
          <w:numId w:val="2"/>
        </w:numPr>
        <w:tabs>
          <w:tab w:val="left" w:pos="1260"/>
        </w:tabs>
        <w:snapToGrid w:val="0"/>
        <w:spacing w:line="380" w:lineRule="atLeast"/>
        <w:ind w:right="-87"/>
        <w:rPr>
          <w:rFonts w:eastAsia="楷体_GB2312"/>
          <w:b/>
          <w:bCs/>
          <w:sz w:val="24"/>
        </w:rPr>
      </w:pPr>
      <w:r>
        <w:rPr>
          <w:rFonts w:hint="eastAsia" w:eastAsia="楷体_GB2312" w:cs="楷体_GB2312"/>
          <w:b/>
          <w:bCs/>
          <w:sz w:val="24"/>
        </w:rPr>
        <w:t>合同的生效</w:t>
      </w:r>
    </w:p>
    <w:p>
      <w:pPr>
        <w:snapToGrid w:val="0"/>
        <w:spacing w:line="380" w:lineRule="atLeast"/>
        <w:ind w:right="-87" w:firstLine="420"/>
        <w:rPr>
          <w:rFonts w:eastAsia="楷体_GB2312"/>
          <w:b/>
          <w:bCs/>
          <w:sz w:val="24"/>
        </w:rPr>
      </w:pPr>
      <w:r>
        <w:rPr>
          <w:rFonts w:hint="eastAsia" w:ascii="楷体_GB2312" w:eastAsia="楷体_GB2312" w:cs="楷体_GB2312"/>
          <w:sz w:val="24"/>
        </w:rPr>
        <w:t>本合同经双方加盖公章后生效。</w:t>
      </w:r>
    </w:p>
    <w:p>
      <w:pPr>
        <w:spacing w:line="380" w:lineRule="atLeast"/>
        <w:ind w:left="420"/>
        <w:rPr>
          <w:rFonts w:eastAsia="楷体_GB2312"/>
          <w:color w:val="000000"/>
          <w:sz w:val="24"/>
        </w:rPr>
      </w:pPr>
    </w:p>
    <w:p>
      <w:pPr>
        <w:numPr>
          <w:ilvl w:val="0"/>
          <w:numId w:val="2"/>
        </w:numPr>
        <w:tabs>
          <w:tab w:val="left" w:pos="1260"/>
        </w:tabs>
        <w:snapToGrid w:val="0"/>
        <w:spacing w:line="380" w:lineRule="atLeast"/>
        <w:ind w:right="-87"/>
        <w:rPr>
          <w:rFonts w:eastAsia="楷体_GB2312"/>
          <w:b/>
          <w:bCs/>
          <w:sz w:val="24"/>
        </w:rPr>
      </w:pPr>
      <w:r>
        <w:rPr>
          <w:rFonts w:hint="eastAsia" w:eastAsia="楷体_GB2312" w:cs="楷体_GB2312"/>
          <w:b/>
          <w:bCs/>
          <w:sz w:val="24"/>
        </w:rPr>
        <w:t>其他约定</w:t>
      </w:r>
    </w:p>
    <w:p>
      <w:pPr>
        <w:numPr>
          <w:ilvl w:val="1"/>
          <w:numId w:val="2"/>
        </w:numPr>
        <w:spacing w:line="380" w:lineRule="atLeast"/>
        <w:rPr>
          <w:rFonts w:eastAsia="楷体_GB2312"/>
          <w:b/>
          <w:bCs/>
          <w:color w:val="000000"/>
          <w:sz w:val="24"/>
        </w:rPr>
      </w:pPr>
      <w:r>
        <w:rPr>
          <w:rFonts w:hint="eastAsia" w:eastAsia="楷体_GB2312" w:cs="楷体_GB2312"/>
          <w:color w:val="000000"/>
          <w:sz w:val="24"/>
        </w:rPr>
        <w:t>本合同签署前形成的与本次交易相关的任何文件如与本合同相冲突，应以本合同为准。</w:t>
      </w:r>
    </w:p>
    <w:p>
      <w:pPr>
        <w:spacing w:line="380" w:lineRule="atLeast"/>
        <w:ind w:left="425"/>
        <w:rPr>
          <w:rFonts w:eastAsia="楷体_GB2312"/>
          <w:sz w:val="24"/>
        </w:rPr>
      </w:pPr>
    </w:p>
    <w:p>
      <w:pPr>
        <w:numPr>
          <w:ilvl w:val="1"/>
          <w:numId w:val="2"/>
        </w:numPr>
        <w:spacing w:line="380" w:lineRule="atLeast"/>
        <w:rPr>
          <w:rFonts w:eastAsia="楷体_GB2312"/>
          <w:b/>
          <w:bCs/>
          <w:color w:val="000000"/>
          <w:sz w:val="24"/>
        </w:rPr>
      </w:pPr>
      <w:r>
        <w:rPr>
          <w:rFonts w:hint="eastAsia" w:eastAsia="楷体_GB2312" w:cs="楷体_GB2312"/>
          <w:sz w:val="24"/>
        </w:rPr>
        <w:t>如果本合同的某条款被宣布为无效，应不影响本合同任何其他条款的效力。</w:t>
      </w:r>
    </w:p>
    <w:p>
      <w:pPr>
        <w:spacing w:line="380" w:lineRule="atLeast"/>
        <w:ind w:left="425"/>
        <w:rPr>
          <w:rFonts w:eastAsia="楷体_GB2312"/>
          <w:b/>
          <w:bCs/>
          <w:color w:val="000000"/>
          <w:sz w:val="24"/>
        </w:rPr>
      </w:pPr>
    </w:p>
    <w:p>
      <w:pPr>
        <w:numPr>
          <w:ilvl w:val="1"/>
          <w:numId w:val="2"/>
        </w:numPr>
        <w:spacing w:line="380" w:lineRule="atLeast"/>
        <w:rPr>
          <w:rFonts w:eastAsia="楷体_GB2312"/>
          <w:b/>
          <w:bCs/>
          <w:color w:val="000000"/>
          <w:sz w:val="24"/>
        </w:rPr>
      </w:pPr>
      <w:r>
        <w:rPr>
          <w:rFonts w:hint="eastAsia" w:eastAsia="楷体_GB2312" w:cs="楷体_GB2312"/>
          <w:color w:val="000000"/>
          <w:sz w:val="24"/>
        </w:rPr>
        <w:t>本合同中所有条款的标题仅为查阅方便，在任何情况下均不得被解释为本合同之组成部分，或构成对其所指示之条款的限制。</w:t>
      </w:r>
    </w:p>
    <w:p>
      <w:pPr>
        <w:spacing w:line="380" w:lineRule="atLeast"/>
        <w:ind w:left="0"/>
        <w:rPr>
          <w:rFonts w:eastAsia="楷体_GB2312"/>
          <w:b/>
          <w:bCs/>
          <w:color w:val="000000"/>
          <w:sz w:val="24"/>
        </w:rPr>
      </w:pPr>
    </w:p>
    <w:p>
      <w:pPr>
        <w:numPr>
          <w:ilvl w:val="1"/>
          <w:numId w:val="2"/>
        </w:numPr>
        <w:spacing w:line="380" w:lineRule="atLeast"/>
        <w:rPr>
          <w:rFonts w:eastAsia="楷体_GB2312"/>
          <w:b/>
          <w:bCs/>
          <w:color w:val="000000"/>
          <w:sz w:val="24"/>
        </w:rPr>
      </w:pPr>
      <w:r>
        <w:rPr>
          <w:rFonts w:hint="eastAsia" w:eastAsia="楷体_GB2312" w:cs="楷体_GB2312"/>
          <w:color w:val="000000"/>
          <w:sz w:val="24"/>
        </w:rPr>
        <w:t>本次债权转让发生的费用，本合同没有约定的，由履行义务的一方承担；法律有规定的，按法律规定执行。</w:t>
      </w:r>
    </w:p>
    <w:p>
      <w:pPr>
        <w:spacing w:line="380" w:lineRule="atLeast"/>
        <w:ind w:left="1077" w:leftChars="513" w:firstLine="1"/>
        <w:rPr>
          <w:rFonts w:eastAsia="楷体_GB2312"/>
          <w:color w:val="000000"/>
          <w:sz w:val="24"/>
        </w:rPr>
      </w:pPr>
    </w:p>
    <w:p>
      <w:pPr>
        <w:numPr>
          <w:ilvl w:val="1"/>
          <w:numId w:val="2"/>
        </w:numPr>
        <w:spacing w:line="380" w:lineRule="atLeast"/>
        <w:rPr>
          <w:rFonts w:eastAsia="楷体_GB2312"/>
          <w:b/>
          <w:bCs/>
          <w:color w:val="000000"/>
          <w:sz w:val="24"/>
        </w:rPr>
      </w:pPr>
      <w:r>
        <w:rPr>
          <w:rFonts w:hint="eastAsia" w:eastAsia="楷体_GB2312" w:cs="楷体_GB2312"/>
          <w:sz w:val="24"/>
        </w:rPr>
        <w:t>如有未尽事宜，双方可签订补充合同。附件、补充合同为本合同不可分割的一部分，与本合同具有同等效力</w:t>
      </w:r>
      <w:r>
        <w:rPr>
          <w:rFonts w:hint="eastAsia" w:eastAsia="楷体_GB2312" w:cs="楷体_GB2312"/>
          <w:b/>
          <w:bCs/>
          <w:color w:val="000000"/>
          <w:sz w:val="24"/>
        </w:rPr>
        <w:t>。</w:t>
      </w:r>
    </w:p>
    <w:p>
      <w:pPr>
        <w:spacing w:line="380" w:lineRule="atLeast"/>
        <w:ind w:left="1077" w:leftChars="513" w:firstLine="1"/>
        <w:rPr>
          <w:rFonts w:eastAsia="楷体_GB2312"/>
          <w:color w:val="000000"/>
          <w:sz w:val="24"/>
        </w:rPr>
      </w:pPr>
    </w:p>
    <w:p>
      <w:pPr>
        <w:numPr>
          <w:ilvl w:val="1"/>
          <w:numId w:val="2"/>
        </w:numPr>
        <w:spacing w:line="380" w:lineRule="atLeast"/>
        <w:rPr>
          <w:rFonts w:eastAsia="楷体_GB2312"/>
          <w:color w:val="000000"/>
          <w:sz w:val="24"/>
        </w:rPr>
      </w:pPr>
      <w:r>
        <w:rPr>
          <w:rFonts w:hint="eastAsia" w:eastAsia="楷体_GB2312" w:cs="楷体_GB2312"/>
          <w:color w:val="000000"/>
          <w:sz w:val="24"/>
        </w:rPr>
        <w:t>本合同一式</w:t>
      </w:r>
      <w:r>
        <w:rPr>
          <w:rFonts w:hint="eastAsia" w:eastAsia="楷体_GB2312" w:cs="楷体_GB2312"/>
          <w:color w:val="000000"/>
          <w:sz w:val="24"/>
          <w:highlight w:val="none"/>
        </w:rPr>
        <w:t>【</w:t>
      </w:r>
      <w:r>
        <w:rPr>
          <w:rFonts w:hint="eastAsia" w:eastAsia="楷体_GB2312" w:cs="楷体_GB2312"/>
          <w:color w:val="000000"/>
          <w:sz w:val="24"/>
          <w:highlight w:val="none"/>
          <w:lang w:val="en-US" w:eastAsia="zh-CN"/>
        </w:rPr>
        <w:t>肆</w:t>
      </w:r>
      <w:r>
        <w:rPr>
          <w:rFonts w:hint="eastAsia" w:eastAsia="楷体_GB2312" w:cs="楷体_GB2312"/>
          <w:color w:val="000000"/>
          <w:sz w:val="24"/>
          <w:highlight w:val="none"/>
        </w:rPr>
        <w:t>】份，均具有同等法律效力，甲方执【</w:t>
      </w:r>
      <w:r>
        <w:rPr>
          <w:rFonts w:hint="eastAsia" w:eastAsia="楷体_GB2312" w:cs="楷体_GB2312"/>
          <w:color w:val="000000"/>
          <w:sz w:val="24"/>
          <w:highlight w:val="none"/>
          <w:lang w:val="en-US" w:eastAsia="zh-CN"/>
        </w:rPr>
        <w:t>贰</w:t>
      </w:r>
      <w:r>
        <w:rPr>
          <w:rFonts w:hint="eastAsia" w:eastAsia="楷体_GB2312" w:cs="楷体_GB2312"/>
          <w:color w:val="000000"/>
          <w:sz w:val="24"/>
          <w:highlight w:val="none"/>
        </w:rPr>
        <w:t>】份，乙方执【</w:t>
      </w:r>
      <w:r>
        <w:rPr>
          <w:rFonts w:hint="eastAsia" w:eastAsia="楷体_GB2312" w:cs="楷体_GB2312"/>
          <w:color w:val="000000"/>
          <w:sz w:val="24"/>
          <w:highlight w:val="none"/>
          <w:lang w:eastAsia="zh-CN"/>
        </w:rPr>
        <w:t>贰</w:t>
      </w:r>
      <w:r>
        <w:rPr>
          <w:rFonts w:hint="eastAsia" w:eastAsia="楷体_GB2312" w:cs="楷体_GB2312"/>
          <w:color w:val="000000"/>
          <w:sz w:val="24"/>
          <w:highlight w:val="none"/>
        </w:rPr>
        <w:t>】</w:t>
      </w:r>
      <w:r>
        <w:rPr>
          <w:rFonts w:hint="eastAsia" w:eastAsia="楷体_GB2312" w:cs="楷体_GB2312"/>
          <w:color w:val="000000"/>
          <w:sz w:val="24"/>
        </w:rPr>
        <w:t>份。</w:t>
      </w:r>
    </w:p>
    <w:p>
      <w:pPr>
        <w:tabs>
          <w:tab w:val="left" w:pos="980"/>
        </w:tabs>
        <w:spacing w:line="380" w:lineRule="atLeast"/>
        <w:ind w:firstLine="240" w:firstLineChars="100"/>
        <w:rPr>
          <w:rFonts w:hint="eastAsia" w:ascii="楷体_GB2312" w:eastAsia="楷体_GB2312" w:cs="楷体_GB2312"/>
          <w:sz w:val="24"/>
        </w:rPr>
      </w:pPr>
    </w:p>
    <w:p>
      <w:pPr>
        <w:widowControl/>
        <w:spacing w:line="360" w:lineRule="auto"/>
        <w:ind w:firstLine="480" w:firstLineChars="200"/>
        <w:outlineLvl w:val="0"/>
        <w:rPr>
          <w:rFonts w:hint="eastAsia"/>
          <w:b/>
          <w:sz w:val="24"/>
          <w:szCs w:val="26"/>
          <w:lang w:val="en-US" w:eastAsia="zh-CN"/>
        </w:rPr>
      </w:pPr>
    </w:p>
    <w:p>
      <w:pPr>
        <w:widowControl/>
        <w:spacing w:line="360" w:lineRule="auto"/>
        <w:ind w:firstLine="480" w:firstLineChars="200"/>
        <w:outlineLvl w:val="0"/>
        <w:rPr>
          <w:rFonts w:hint="eastAsia"/>
          <w:b/>
          <w:sz w:val="24"/>
          <w:szCs w:val="26"/>
          <w:lang w:val="en-US" w:eastAsia="zh-CN"/>
        </w:rPr>
      </w:pPr>
    </w:p>
    <w:p>
      <w:pPr>
        <w:widowControl/>
        <w:spacing w:line="360" w:lineRule="auto"/>
        <w:ind w:firstLine="480" w:firstLineChars="200"/>
        <w:outlineLvl w:val="0"/>
        <w:rPr>
          <w:rFonts w:hint="eastAsia"/>
          <w:b/>
          <w:sz w:val="24"/>
          <w:szCs w:val="26"/>
          <w:lang w:val="en-US" w:eastAsia="zh-CN"/>
        </w:rPr>
      </w:pPr>
    </w:p>
    <w:p>
      <w:pPr>
        <w:widowControl/>
        <w:spacing w:line="360" w:lineRule="auto"/>
        <w:ind w:firstLine="480" w:firstLineChars="200"/>
        <w:outlineLvl w:val="0"/>
        <w:rPr>
          <w:rFonts w:hint="eastAsia"/>
          <w:b/>
          <w:sz w:val="24"/>
          <w:szCs w:val="26"/>
          <w:lang w:val="en-US" w:eastAsia="zh-CN"/>
        </w:rPr>
      </w:pPr>
      <w:r>
        <w:rPr>
          <w:rFonts w:hint="eastAsia"/>
          <w:b/>
          <w:sz w:val="24"/>
          <w:szCs w:val="26"/>
          <w:lang w:val="en-US" w:eastAsia="zh-CN"/>
        </w:rPr>
        <w:t>附件一：债权清单</w:t>
      </w:r>
    </w:p>
    <w:p>
      <w:pPr>
        <w:widowControl/>
        <w:spacing w:line="360" w:lineRule="auto"/>
        <w:ind w:firstLine="420" w:firstLineChars="200"/>
        <w:jc w:val="right"/>
        <w:outlineLvl w:val="0"/>
        <w:rPr>
          <w:rFonts w:hint="default"/>
          <w:b/>
          <w:sz w:val="21"/>
          <w:szCs w:val="21"/>
          <w:lang w:val="en-US" w:eastAsia="zh-CN"/>
        </w:rPr>
      </w:pPr>
      <w:r>
        <w:rPr>
          <w:rFonts w:hint="eastAsia"/>
          <w:b/>
          <w:sz w:val="21"/>
          <w:szCs w:val="21"/>
          <w:lang w:val="en-US" w:eastAsia="zh-CN"/>
        </w:rPr>
        <w:t>单位：元</w:t>
      </w:r>
    </w:p>
    <w:tbl>
      <w:tblPr>
        <w:tblStyle w:val="8"/>
        <w:tblW w:w="11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1350"/>
        <w:gridCol w:w="1415"/>
        <w:gridCol w:w="1530"/>
        <w:gridCol w:w="1936"/>
        <w:gridCol w:w="1143"/>
        <w:gridCol w:w="1932"/>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借款人</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本金</w:t>
            </w:r>
          </w:p>
        </w:tc>
        <w:tc>
          <w:tcPr>
            <w:tcW w:w="141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利息</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18"/>
                <w:szCs w:val="18"/>
                <w:vertAlign w:val="baseline"/>
                <w:lang w:val="en-US" w:eastAsia="zh-CN"/>
              </w:rPr>
            </w:pPr>
            <w:r>
              <w:rPr>
                <w:rFonts w:hint="eastAsia" w:asciiTheme="minorEastAsia" w:hAnsiTheme="minorEastAsia" w:eastAsiaTheme="minorEastAsia" w:cstheme="minorEastAsia"/>
                <w:b/>
                <w:bCs/>
                <w:sz w:val="18"/>
                <w:szCs w:val="18"/>
                <w:vertAlign w:val="baseline"/>
                <w:lang w:val="en-US" w:eastAsia="zh-CN"/>
              </w:rPr>
              <w:t>已支付法律费用</w:t>
            </w: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协议编号</w:t>
            </w:r>
          </w:p>
        </w:tc>
        <w:tc>
          <w:tcPr>
            <w:tcW w:w="114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保证人</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抵押物</w:t>
            </w:r>
          </w:p>
        </w:tc>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基准日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lang w:eastAsia="zh-CN"/>
              </w:rPr>
              <w:t>青岛海智伟创置业有限公司</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heme="minorEastAsia" w:hAnsiTheme="minorEastAsia" w:eastAsiaTheme="minorEastAsia" w:cstheme="minorEastAsia"/>
                <w:b/>
                <w:bCs/>
                <w:sz w:val="18"/>
                <w:szCs w:val="18"/>
                <w:vertAlign w:val="baseline"/>
                <w:lang w:val="en-US" w:eastAsia="zh-CN"/>
              </w:rPr>
            </w:pPr>
            <w:r>
              <w:rPr>
                <w:rFonts w:hint="eastAsia" w:asciiTheme="minorEastAsia" w:hAnsiTheme="minorEastAsia" w:eastAsiaTheme="minorEastAsia" w:cstheme="minorEastAsia"/>
                <w:b/>
                <w:bCs/>
                <w:sz w:val="18"/>
                <w:szCs w:val="18"/>
                <w:vertAlign w:val="baseline"/>
              </w:rPr>
              <w:t>484228000</w:t>
            </w:r>
            <w:r>
              <w:rPr>
                <w:rFonts w:hint="eastAsia" w:asciiTheme="minorEastAsia" w:hAnsiTheme="minorEastAsia" w:eastAsiaTheme="minorEastAsia" w:cstheme="minorEastAsia"/>
                <w:b/>
                <w:bCs/>
                <w:sz w:val="18"/>
                <w:szCs w:val="18"/>
                <w:vertAlign w:val="baseline"/>
                <w:lang w:val="en-US" w:eastAsia="zh-CN"/>
              </w:rPr>
              <w:t>.00</w:t>
            </w:r>
          </w:p>
        </w:tc>
        <w:tc>
          <w:tcPr>
            <w:tcW w:w="141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b/>
                <w:bCs/>
                <w:sz w:val="18"/>
                <w:szCs w:val="18"/>
                <w:vertAlign w:val="baseline"/>
              </w:rPr>
            </w:pPr>
            <w:r>
              <w:rPr>
                <w:rFonts w:hint="eastAsia" w:asciiTheme="minorEastAsia" w:hAnsiTheme="minorEastAsia" w:eastAsiaTheme="minorEastAsia" w:cstheme="minorEastAsia"/>
                <w:b/>
                <w:bCs/>
                <w:sz w:val="18"/>
                <w:szCs w:val="18"/>
                <w:vertAlign w:val="baseline"/>
              </w:rPr>
              <w:t>32683137.35</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heme="minorEastAsia" w:hAnsiTheme="minorEastAsia" w:eastAsiaTheme="minorEastAsia" w:cstheme="minorEastAsia"/>
                <w:b/>
                <w:bCs/>
                <w:sz w:val="18"/>
                <w:szCs w:val="18"/>
                <w:vertAlign w:val="baseline"/>
                <w:lang w:val="en-US" w:eastAsia="zh-CN"/>
              </w:rPr>
            </w:pPr>
            <w:r>
              <w:rPr>
                <w:rFonts w:hint="eastAsia" w:asciiTheme="minorEastAsia" w:hAnsiTheme="minorEastAsia" w:eastAsiaTheme="minorEastAsia" w:cstheme="minorEastAsia"/>
                <w:b/>
                <w:bCs/>
                <w:sz w:val="18"/>
                <w:szCs w:val="18"/>
                <w:vertAlign w:val="baseline"/>
              </w:rPr>
              <w:t>3306046</w:t>
            </w:r>
            <w:r>
              <w:rPr>
                <w:rFonts w:hint="eastAsia" w:asciiTheme="minorEastAsia" w:hAnsiTheme="minorEastAsia" w:eastAsiaTheme="minorEastAsia" w:cstheme="minorEastAsia"/>
                <w:b/>
                <w:bCs/>
                <w:sz w:val="18"/>
                <w:szCs w:val="18"/>
                <w:vertAlign w:val="baseline"/>
                <w:lang w:val="en-US" w:eastAsia="zh-CN"/>
              </w:rPr>
              <w:t>.00</w:t>
            </w: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b/>
                <w:bCs/>
                <w:sz w:val="18"/>
                <w:szCs w:val="18"/>
                <w:vertAlign w:val="baseline"/>
                <w:lang w:val="en-US" w:eastAsia="zh-CN"/>
              </w:rPr>
            </w:pPr>
            <w:r>
              <w:rPr>
                <w:rFonts w:hint="eastAsia" w:asciiTheme="minorEastAsia" w:hAnsiTheme="minorEastAsia" w:eastAsiaTheme="minorEastAsia" w:cstheme="minorEastAsia"/>
                <w:b/>
                <w:bCs/>
                <w:sz w:val="18"/>
                <w:szCs w:val="18"/>
                <w:vertAlign w:val="baseline"/>
                <w:lang w:val="en-US" w:eastAsia="zh-CN"/>
              </w:rPr>
              <w:t>LJZXT[2021]-J-XYQD-ZQRZ号债权融资合</w:t>
            </w:r>
            <w:r>
              <w:rPr>
                <w:rFonts w:hint="eastAsia" w:asciiTheme="minorEastAsia" w:hAnsiTheme="minorEastAsia" w:eastAsiaTheme="minorEastAsia" w:cstheme="minorEastAsia"/>
                <w:b/>
                <w:bCs/>
                <w:color w:val="auto"/>
                <w:sz w:val="18"/>
                <w:szCs w:val="18"/>
                <w:vertAlign w:val="baseline"/>
                <w:lang w:val="en-US" w:eastAsia="zh-CN"/>
              </w:rPr>
              <w:t>同及LJZXT[2021]-J-XYQD-ZQRZ-BC号债权融资合同之补充协议；</w:t>
            </w:r>
            <w:r>
              <w:rPr>
                <w:rFonts w:hint="eastAsia" w:asciiTheme="minorEastAsia" w:hAnsiTheme="minorEastAsia" w:eastAsiaTheme="minorEastAsia" w:cstheme="minorEastAsia"/>
                <w:b/>
                <w:bCs/>
                <w:sz w:val="18"/>
                <w:szCs w:val="18"/>
                <w:vertAlign w:val="baseline"/>
                <w:lang w:val="en-US" w:eastAsia="zh-CN"/>
              </w:rPr>
              <w:t>LJZXT[2021]-J-XYQD-BZHT号保证合同；LJZXT[2021]-J-XYQD-DYHT01号抵押合同；LJZXT[2021]-J-XYQD-DYHT02号抵押合同。</w:t>
            </w:r>
          </w:p>
        </w:tc>
        <w:tc>
          <w:tcPr>
            <w:tcW w:w="114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b/>
                <w:bCs/>
                <w:sz w:val="18"/>
                <w:szCs w:val="18"/>
                <w:vertAlign w:val="baseline"/>
              </w:rPr>
            </w:pPr>
            <w:r>
              <w:rPr>
                <w:rFonts w:hint="eastAsia" w:asciiTheme="minorEastAsia" w:hAnsiTheme="minorEastAsia" w:eastAsiaTheme="minorEastAsia" w:cstheme="minorEastAsia"/>
                <w:b/>
                <w:bCs/>
                <w:sz w:val="18"/>
                <w:szCs w:val="18"/>
                <w:vertAlign w:val="baseline"/>
              </w:rPr>
              <w:t>上海世茂建设有限公司</w:t>
            </w:r>
          </w:p>
        </w:tc>
        <w:tc>
          <w:tcPr>
            <w:tcW w:w="193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bCs/>
                <w:sz w:val="18"/>
                <w:szCs w:val="18"/>
                <w:vertAlign w:val="baseline"/>
              </w:rPr>
              <w:t>他项权证号：鲁（2021）青岛市即墨区不动产证明第0040971号</w:t>
            </w:r>
            <w:r>
              <w:rPr>
                <w:rFonts w:hint="eastAsia" w:asciiTheme="minorEastAsia" w:hAnsiTheme="minorEastAsia" w:eastAsiaTheme="minorEastAsia" w:cstheme="minorEastAsia"/>
                <w:b/>
                <w:bCs/>
                <w:sz w:val="18"/>
                <w:szCs w:val="18"/>
                <w:vertAlign w:val="baseline"/>
                <w:lang w:eastAsia="zh-CN"/>
              </w:rPr>
              <w:t>、他项权证号：鲁（2021）青岛市即墨区不动产证明第0040548号</w:t>
            </w:r>
          </w:p>
        </w:tc>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b/>
                <w:bCs/>
                <w:sz w:val="18"/>
                <w:szCs w:val="18"/>
                <w:vertAlign w:val="baseline"/>
                <w:lang w:val="en-US" w:eastAsia="zh-CN"/>
              </w:rPr>
            </w:pPr>
            <w:r>
              <w:rPr>
                <w:rFonts w:hint="eastAsia" w:asciiTheme="minorEastAsia" w:hAnsiTheme="minorEastAsia" w:eastAsiaTheme="minorEastAsia" w:cstheme="minorEastAsia"/>
                <w:b/>
                <w:bCs/>
                <w:sz w:val="18"/>
                <w:szCs w:val="18"/>
                <w:vertAlign w:val="baseline"/>
                <w:lang w:val="en-US" w:eastAsia="zh-CN"/>
              </w:rPr>
              <w:t>2023年7月11日</w:t>
            </w:r>
          </w:p>
        </w:tc>
      </w:tr>
    </w:tbl>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r>
        <w:rPr>
          <w:rFonts w:hint="eastAsia" w:ascii="楷体_GB2312" w:eastAsia="楷体_GB2312" w:cs="楷体_GB2312"/>
          <w:sz w:val="24"/>
        </w:rPr>
        <w:t>【以下无正文】</w:t>
      </w: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hint="eastAsia" w:ascii="楷体_GB2312" w:eastAsia="楷体_GB2312" w:cs="楷体_GB2312"/>
          <w:sz w:val="24"/>
        </w:rPr>
      </w:pPr>
    </w:p>
    <w:p>
      <w:pPr>
        <w:tabs>
          <w:tab w:val="left" w:pos="980"/>
        </w:tabs>
        <w:spacing w:line="380" w:lineRule="atLeast"/>
        <w:rPr>
          <w:rFonts w:ascii="楷体_GB2312" w:eastAsia="楷体_GB2312"/>
          <w:sz w:val="24"/>
        </w:rPr>
      </w:pPr>
      <w:r>
        <w:rPr>
          <w:rFonts w:hint="eastAsia" w:ascii="楷体_GB2312" w:eastAsia="楷体_GB2312" w:cs="楷体_GB2312"/>
          <w:sz w:val="24"/>
        </w:rPr>
        <w:t>（本页无正文）</w:t>
      </w:r>
    </w:p>
    <w:p>
      <w:pPr>
        <w:spacing w:line="380" w:lineRule="atLeast"/>
        <w:jc w:val="center"/>
        <w:outlineLvl w:val="0"/>
        <w:rPr>
          <w:rFonts w:eastAsia="楷体_GB2312" w:cs="楷体_GB2312"/>
          <w:b/>
          <w:bCs/>
          <w:color w:val="000000"/>
          <w:sz w:val="28"/>
          <w:szCs w:val="28"/>
        </w:rPr>
      </w:pPr>
      <w:r>
        <w:rPr>
          <w:rFonts w:hint="eastAsia" w:eastAsia="楷体_GB2312" w:cs="楷体_GB2312"/>
          <w:b/>
          <w:bCs/>
          <w:color w:val="000000"/>
          <w:sz w:val="28"/>
          <w:szCs w:val="28"/>
        </w:rPr>
        <w:t>陆家嘴国际信托有限公司</w:t>
      </w:r>
    </w:p>
    <w:p>
      <w:pPr>
        <w:spacing w:line="380" w:lineRule="atLeast"/>
        <w:jc w:val="center"/>
        <w:outlineLvl w:val="0"/>
        <w:rPr>
          <w:rFonts w:eastAsia="楷体_GB2312" w:cs="楷体_GB2312"/>
          <w:b/>
          <w:bCs/>
          <w:color w:val="000000"/>
          <w:sz w:val="28"/>
          <w:szCs w:val="28"/>
        </w:rPr>
      </w:pPr>
      <w:r>
        <w:rPr>
          <w:rFonts w:hint="eastAsia" w:eastAsia="楷体_GB2312" w:cs="楷体_GB2312"/>
          <w:b/>
          <w:bCs/>
          <w:color w:val="000000"/>
          <w:sz w:val="28"/>
          <w:szCs w:val="28"/>
        </w:rPr>
        <w:t>与</w:t>
      </w:r>
    </w:p>
    <w:p>
      <w:pPr>
        <w:spacing w:line="380" w:lineRule="atLeast"/>
        <w:jc w:val="center"/>
        <w:outlineLvl w:val="0"/>
        <w:rPr>
          <w:rFonts w:hint="default" w:eastAsia="楷体_GB2312"/>
          <w:b/>
          <w:bCs/>
          <w:color w:val="000000"/>
          <w:sz w:val="28"/>
          <w:szCs w:val="28"/>
          <w:lang w:val="en-US" w:eastAsia="zh-CN"/>
        </w:rPr>
      </w:pPr>
      <w:r>
        <w:rPr>
          <w:rFonts w:hint="eastAsia" w:eastAsia="楷体_GB2312" w:cs="楷体_GB2312"/>
          <w:b/>
          <w:bCs/>
          <w:color w:val="000000"/>
          <w:sz w:val="28"/>
          <w:szCs w:val="28"/>
          <w:u w:val="single"/>
          <w:lang w:val="en-US" w:eastAsia="zh-CN"/>
        </w:rPr>
        <w:t xml:space="preserve">                公司</w:t>
      </w:r>
    </w:p>
    <w:p>
      <w:pPr>
        <w:spacing w:line="380" w:lineRule="atLeast"/>
        <w:outlineLvl w:val="0"/>
        <w:rPr>
          <w:rFonts w:eastAsia="楷体_GB2312"/>
          <w:b/>
          <w:bCs/>
          <w:color w:val="000000"/>
          <w:sz w:val="30"/>
          <w:szCs w:val="30"/>
        </w:rPr>
      </w:pPr>
    </w:p>
    <w:p>
      <w:pPr>
        <w:spacing w:line="380" w:lineRule="atLeast"/>
        <w:jc w:val="center"/>
        <w:outlineLvl w:val="0"/>
        <w:rPr>
          <w:rFonts w:eastAsia="楷体_GB2312"/>
          <w:b/>
          <w:bCs/>
          <w:color w:val="000000"/>
          <w:sz w:val="30"/>
          <w:szCs w:val="30"/>
        </w:rPr>
      </w:pPr>
      <w:r>
        <w:rPr>
          <w:rFonts w:hint="eastAsia" w:eastAsia="楷体_GB2312" w:cs="楷体_GB2312"/>
          <w:b/>
          <w:bCs/>
          <w:color w:val="000000"/>
          <w:sz w:val="30"/>
          <w:szCs w:val="30"/>
        </w:rPr>
        <w:t>债权转让合同</w:t>
      </w:r>
    </w:p>
    <w:p>
      <w:pPr>
        <w:spacing w:line="380" w:lineRule="atLeast"/>
        <w:jc w:val="center"/>
        <w:outlineLvl w:val="0"/>
        <w:rPr>
          <w:rFonts w:eastAsia="楷体_GB2312"/>
          <w:b/>
          <w:bCs/>
          <w:color w:val="000000"/>
          <w:sz w:val="30"/>
          <w:szCs w:val="30"/>
        </w:rPr>
      </w:pPr>
      <w:r>
        <w:rPr>
          <w:rFonts w:hint="eastAsia" w:eastAsia="楷体_GB2312" w:cs="楷体_GB2312"/>
          <w:b/>
          <w:bCs/>
          <w:color w:val="000000"/>
          <w:sz w:val="30"/>
          <w:szCs w:val="30"/>
          <w:lang w:eastAsia="zh-CN"/>
        </w:rPr>
        <w:t>盖章</w:t>
      </w:r>
      <w:r>
        <w:rPr>
          <w:rFonts w:hint="eastAsia" w:eastAsia="楷体_GB2312" w:cs="楷体_GB2312"/>
          <w:b/>
          <w:bCs/>
          <w:color w:val="000000"/>
          <w:sz w:val="30"/>
          <w:szCs w:val="30"/>
        </w:rPr>
        <w:t>页</w:t>
      </w:r>
    </w:p>
    <w:p>
      <w:pPr>
        <w:spacing w:line="380" w:lineRule="atLeast"/>
        <w:jc w:val="center"/>
        <w:rPr>
          <w:rFonts w:eastAsia="楷体_GB2312"/>
          <w:b/>
          <w:bCs/>
          <w:color w:val="000000"/>
          <w:sz w:val="24"/>
        </w:rPr>
      </w:pPr>
    </w:p>
    <w:p>
      <w:pPr>
        <w:spacing w:line="380" w:lineRule="atLeast"/>
        <w:jc w:val="center"/>
        <w:rPr>
          <w:rFonts w:eastAsia="楷体_GB2312"/>
          <w:b/>
          <w:bCs/>
          <w:color w:val="000000"/>
          <w:sz w:val="24"/>
        </w:rPr>
      </w:pPr>
    </w:p>
    <w:p>
      <w:pPr>
        <w:spacing w:line="380" w:lineRule="atLeast"/>
        <w:jc w:val="center"/>
        <w:rPr>
          <w:rFonts w:eastAsia="楷体_GB2312"/>
          <w:b/>
          <w:bCs/>
          <w:color w:val="000000"/>
          <w:sz w:val="24"/>
        </w:rPr>
      </w:pPr>
    </w:p>
    <w:p>
      <w:pPr>
        <w:spacing w:line="380" w:lineRule="atLeast"/>
        <w:jc w:val="center"/>
        <w:rPr>
          <w:rFonts w:eastAsia="楷体_GB2312"/>
          <w:color w:val="000000"/>
          <w:sz w:val="24"/>
        </w:rPr>
      </w:pPr>
    </w:p>
    <w:p>
      <w:pPr>
        <w:spacing w:line="380" w:lineRule="atLeast"/>
        <w:outlineLvl w:val="0"/>
        <w:rPr>
          <w:rFonts w:eastAsia="楷体_GB2312"/>
          <w:b/>
          <w:bCs/>
          <w:color w:val="000000"/>
          <w:sz w:val="24"/>
        </w:rPr>
      </w:pPr>
      <w:r>
        <w:rPr>
          <w:rFonts w:hint="eastAsia" w:eastAsia="楷体_GB2312" w:cs="楷体_GB2312"/>
          <w:b/>
          <w:bCs/>
          <w:color w:val="000000"/>
          <w:sz w:val="24"/>
        </w:rPr>
        <w:t>甲方：陆家嘴国际信托有限公司（盖章）</w:t>
      </w: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r>
        <w:rPr>
          <w:rFonts w:hint="eastAsia" w:eastAsia="楷体_GB2312" w:cs="楷体_GB2312"/>
          <w:b/>
          <w:bCs/>
          <w:color w:val="000000"/>
          <w:sz w:val="24"/>
        </w:rPr>
        <w:t>乙方：</w:t>
      </w:r>
      <w:r>
        <w:rPr>
          <w:rFonts w:hint="eastAsia" w:eastAsia="楷体_GB2312" w:cs="楷体_GB2312"/>
          <w:b/>
          <w:bCs/>
          <w:color w:val="000000"/>
          <w:sz w:val="24"/>
          <w:u w:val="single"/>
          <w:lang w:val="en-US" w:eastAsia="zh-CN"/>
        </w:rPr>
        <w:t xml:space="preserve">                        </w:t>
      </w:r>
      <w:r>
        <w:rPr>
          <w:rFonts w:hint="eastAsia" w:eastAsia="楷体_GB2312" w:cs="楷体_GB2312"/>
          <w:b/>
          <w:bCs/>
          <w:color w:val="000000"/>
          <w:sz w:val="24"/>
        </w:rPr>
        <w:t>（盖章）</w:t>
      </w: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sectPr>
      <w:headerReference r:id="rId3" w:type="default"/>
      <w:footerReference r:id="rId4" w:type="default"/>
      <w:pgSz w:w="11906" w:h="16838"/>
      <w:pgMar w:top="1440" w:right="1797" w:bottom="1440" w:left="1797" w:header="851" w:footer="992" w:gutter="0"/>
      <w:pgNumType w:start="0"/>
      <w:cols w:space="425" w:num="1"/>
      <w:titlePg/>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2D4B28"/>
    <w:multiLevelType w:val="multilevel"/>
    <w:tmpl w:val="102D4B28"/>
    <w:lvl w:ilvl="0" w:tentative="0">
      <w:start w:val="1"/>
      <w:numFmt w:val="upperLetter"/>
      <w:lvlText w:val="%1."/>
      <w:lvlJc w:val="left"/>
      <w:pPr>
        <w:tabs>
          <w:tab w:val="left" w:pos="1630"/>
        </w:tabs>
        <w:ind w:left="1630" w:hanging="420"/>
      </w:pPr>
      <w:rPr>
        <w:rFonts w:cs="Times New Roman"/>
      </w:rPr>
    </w:lvl>
    <w:lvl w:ilvl="1" w:tentative="0">
      <w:start w:val="1"/>
      <w:numFmt w:val="lowerLetter"/>
      <w:lvlText w:val="%2)"/>
      <w:lvlJc w:val="left"/>
      <w:pPr>
        <w:tabs>
          <w:tab w:val="left" w:pos="2050"/>
        </w:tabs>
        <w:ind w:left="2050" w:hanging="420"/>
      </w:pPr>
      <w:rPr>
        <w:rFonts w:cs="Times New Roman"/>
      </w:rPr>
    </w:lvl>
    <w:lvl w:ilvl="2" w:tentative="0">
      <w:start w:val="1"/>
      <w:numFmt w:val="lowerRoman"/>
      <w:lvlText w:val="%3."/>
      <w:lvlJc w:val="right"/>
      <w:pPr>
        <w:tabs>
          <w:tab w:val="left" w:pos="2470"/>
        </w:tabs>
        <w:ind w:left="2470" w:hanging="420"/>
      </w:pPr>
      <w:rPr>
        <w:rFonts w:cs="Times New Roman"/>
      </w:rPr>
    </w:lvl>
    <w:lvl w:ilvl="3" w:tentative="0">
      <w:start w:val="1"/>
      <w:numFmt w:val="decimal"/>
      <w:lvlText w:val="%4."/>
      <w:lvlJc w:val="left"/>
      <w:pPr>
        <w:tabs>
          <w:tab w:val="left" w:pos="2890"/>
        </w:tabs>
        <w:ind w:left="2890" w:hanging="420"/>
      </w:pPr>
      <w:rPr>
        <w:rFonts w:cs="Times New Roman"/>
      </w:rPr>
    </w:lvl>
    <w:lvl w:ilvl="4" w:tentative="0">
      <w:start w:val="1"/>
      <w:numFmt w:val="lowerLetter"/>
      <w:lvlText w:val="%5)"/>
      <w:lvlJc w:val="left"/>
      <w:pPr>
        <w:tabs>
          <w:tab w:val="left" w:pos="3310"/>
        </w:tabs>
        <w:ind w:left="3310" w:hanging="420"/>
      </w:pPr>
      <w:rPr>
        <w:rFonts w:cs="Times New Roman"/>
      </w:rPr>
    </w:lvl>
    <w:lvl w:ilvl="5" w:tentative="0">
      <w:start w:val="1"/>
      <w:numFmt w:val="lowerRoman"/>
      <w:lvlText w:val="%6."/>
      <w:lvlJc w:val="right"/>
      <w:pPr>
        <w:tabs>
          <w:tab w:val="left" w:pos="3730"/>
        </w:tabs>
        <w:ind w:left="3730" w:hanging="420"/>
      </w:pPr>
      <w:rPr>
        <w:rFonts w:cs="Times New Roman"/>
      </w:rPr>
    </w:lvl>
    <w:lvl w:ilvl="6" w:tentative="0">
      <w:start w:val="1"/>
      <w:numFmt w:val="decimal"/>
      <w:lvlText w:val="%7."/>
      <w:lvlJc w:val="left"/>
      <w:pPr>
        <w:tabs>
          <w:tab w:val="left" w:pos="4150"/>
        </w:tabs>
        <w:ind w:left="4150" w:hanging="420"/>
      </w:pPr>
      <w:rPr>
        <w:rFonts w:cs="Times New Roman"/>
      </w:rPr>
    </w:lvl>
    <w:lvl w:ilvl="7" w:tentative="0">
      <w:start w:val="1"/>
      <w:numFmt w:val="lowerLetter"/>
      <w:lvlText w:val="%8)"/>
      <w:lvlJc w:val="left"/>
      <w:pPr>
        <w:tabs>
          <w:tab w:val="left" w:pos="4570"/>
        </w:tabs>
        <w:ind w:left="4570" w:hanging="420"/>
      </w:pPr>
      <w:rPr>
        <w:rFonts w:cs="Times New Roman"/>
      </w:rPr>
    </w:lvl>
    <w:lvl w:ilvl="8" w:tentative="0">
      <w:start w:val="1"/>
      <w:numFmt w:val="lowerRoman"/>
      <w:lvlText w:val="%9."/>
      <w:lvlJc w:val="right"/>
      <w:pPr>
        <w:tabs>
          <w:tab w:val="left" w:pos="4990"/>
        </w:tabs>
        <w:ind w:left="4990" w:hanging="420"/>
      </w:pPr>
      <w:rPr>
        <w:rFonts w:cs="Times New Roman"/>
      </w:rPr>
    </w:lvl>
  </w:abstractNum>
  <w:abstractNum w:abstractNumId="1">
    <w:nsid w:val="3BD50BD9"/>
    <w:multiLevelType w:val="multilevel"/>
    <w:tmpl w:val="3BD50BD9"/>
    <w:lvl w:ilvl="0" w:tentative="0">
      <w:start w:val="1"/>
      <w:numFmt w:val="decimal"/>
      <w:lvlText w:val="%1."/>
      <w:lvlJc w:val="left"/>
      <w:pPr>
        <w:tabs>
          <w:tab w:val="left" w:pos="562"/>
        </w:tabs>
        <w:ind w:left="562"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japaneseCounting"/>
      <w:lvlText w:val="%5、"/>
      <w:lvlJc w:val="left"/>
      <w:pPr>
        <w:tabs>
          <w:tab w:val="left" w:pos="2160"/>
        </w:tabs>
        <w:ind w:left="2160" w:hanging="480"/>
      </w:pPr>
      <w:rPr>
        <w:rFonts w:hint="default" w:cs="Times New Roman"/>
      </w:rPr>
    </w:lvl>
    <w:lvl w:ilvl="5" w:tentative="0">
      <w:start w:val="1"/>
      <w:numFmt w:val="japaneseCounting"/>
      <w:lvlText w:val="（%6）"/>
      <w:lvlJc w:val="left"/>
      <w:pPr>
        <w:tabs>
          <w:tab w:val="left" w:pos="2820"/>
        </w:tabs>
        <w:ind w:left="2820" w:hanging="720"/>
      </w:pPr>
      <w:rPr>
        <w:rFonts w:hint="default"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630C0494"/>
    <w:multiLevelType w:val="multilevel"/>
    <w:tmpl w:val="630C0494"/>
    <w:lvl w:ilvl="0" w:tentative="0">
      <w:start w:val="1"/>
      <w:numFmt w:val="decimal"/>
      <w:lvlText w:val="%1"/>
      <w:lvlJc w:val="left"/>
      <w:pPr>
        <w:tabs>
          <w:tab w:val="left" w:pos="425"/>
        </w:tabs>
        <w:ind w:left="425" w:hanging="425"/>
      </w:pPr>
      <w:rPr>
        <w:rFonts w:cs="Times New Roman"/>
      </w:rPr>
    </w:lvl>
    <w:lvl w:ilvl="1" w:tentative="0">
      <w:start w:val="1"/>
      <w:numFmt w:val="decimal"/>
      <w:lvlText w:val="%1.%2"/>
      <w:lvlJc w:val="left"/>
      <w:pPr>
        <w:tabs>
          <w:tab w:val="left" w:pos="992"/>
        </w:tabs>
        <w:ind w:left="992" w:hanging="567"/>
      </w:pPr>
      <w:rPr>
        <w:rFonts w:cs="Times New Roman"/>
        <w:b w:val="0"/>
        <w:bCs w:val="0"/>
      </w:rPr>
    </w:lvl>
    <w:lvl w:ilvl="2" w:tentative="0">
      <w:start w:val="1"/>
      <w:numFmt w:val="decimal"/>
      <w:lvlText w:val="%1.%2.%3"/>
      <w:lvlJc w:val="left"/>
      <w:pPr>
        <w:tabs>
          <w:tab w:val="left" w:pos="927"/>
        </w:tabs>
        <w:ind w:left="927" w:hanging="567"/>
      </w:pPr>
      <w:rPr>
        <w:rFonts w:hint="default" w:cs="Times New Roman"/>
        <w:color w:val="auto"/>
      </w:rPr>
    </w:lvl>
    <w:lvl w:ilvl="3" w:tentative="0">
      <w:start w:val="1"/>
      <w:numFmt w:val="decimal"/>
      <w:lvlText w:val="%1.%2.%3.%4"/>
      <w:lvlJc w:val="left"/>
      <w:pPr>
        <w:tabs>
          <w:tab w:val="left" w:pos="1984"/>
        </w:tabs>
        <w:ind w:left="1984" w:hanging="708"/>
      </w:pPr>
      <w:rPr>
        <w:rFonts w:cs="Times New Roman"/>
      </w:rPr>
    </w:lvl>
    <w:lvl w:ilvl="4" w:tentative="0">
      <w:start w:val="1"/>
      <w:numFmt w:val="decimal"/>
      <w:lvlText w:val="%1.%2.%3.%4.%5"/>
      <w:lvlJc w:val="left"/>
      <w:pPr>
        <w:tabs>
          <w:tab w:val="left" w:pos="2551"/>
        </w:tabs>
        <w:ind w:left="2551" w:hanging="850"/>
      </w:pPr>
      <w:rPr>
        <w:rFonts w:cs="Times New Roman"/>
      </w:rPr>
    </w:lvl>
    <w:lvl w:ilvl="5" w:tentative="0">
      <w:start w:val="1"/>
      <w:numFmt w:val="decimal"/>
      <w:lvlText w:val="%1.%2.%3.%4.%5.%6"/>
      <w:lvlJc w:val="left"/>
      <w:pPr>
        <w:tabs>
          <w:tab w:val="left" w:pos="3260"/>
        </w:tabs>
        <w:ind w:left="3260" w:hanging="1134"/>
      </w:pPr>
      <w:rPr>
        <w:rFonts w:cs="Times New Roman"/>
      </w:rPr>
    </w:lvl>
    <w:lvl w:ilvl="6" w:tentative="0">
      <w:start w:val="1"/>
      <w:numFmt w:val="decimal"/>
      <w:lvlText w:val="%1.%2.%3.%4.%5.%6.%7"/>
      <w:lvlJc w:val="left"/>
      <w:pPr>
        <w:tabs>
          <w:tab w:val="left" w:pos="3827"/>
        </w:tabs>
        <w:ind w:left="3827" w:hanging="1276"/>
      </w:pPr>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6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19"/>
    <w:rsid w:val="00001417"/>
    <w:rsid w:val="00005590"/>
    <w:rsid w:val="000055FC"/>
    <w:rsid w:val="00006076"/>
    <w:rsid w:val="00007B7C"/>
    <w:rsid w:val="00011A10"/>
    <w:rsid w:val="00015260"/>
    <w:rsid w:val="0002408B"/>
    <w:rsid w:val="0003185B"/>
    <w:rsid w:val="000375B5"/>
    <w:rsid w:val="000401DB"/>
    <w:rsid w:val="00042A00"/>
    <w:rsid w:val="00045FEE"/>
    <w:rsid w:val="00047260"/>
    <w:rsid w:val="000474C4"/>
    <w:rsid w:val="00051195"/>
    <w:rsid w:val="000535B5"/>
    <w:rsid w:val="00055E4A"/>
    <w:rsid w:val="000622F5"/>
    <w:rsid w:val="00073566"/>
    <w:rsid w:val="00074C23"/>
    <w:rsid w:val="00075D5A"/>
    <w:rsid w:val="000771E7"/>
    <w:rsid w:val="00082A4A"/>
    <w:rsid w:val="0008581B"/>
    <w:rsid w:val="000916A3"/>
    <w:rsid w:val="00095659"/>
    <w:rsid w:val="0009788B"/>
    <w:rsid w:val="000A094E"/>
    <w:rsid w:val="000A3032"/>
    <w:rsid w:val="000A7590"/>
    <w:rsid w:val="000A78E2"/>
    <w:rsid w:val="000A7EFF"/>
    <w:rsid w:val="000B2E08"/>
    <w:rsid w:val="000B30BA"/>
    <w:rsid w:val="000C2908"/>
    <w:rsid w:val="000C375A"/>
    <w:rsid w:val="000E1958"/>
    <w:rsid w:val="000E2BC4"/>
    <w:rsid w:val="000F08F6"/>
    <w:rsid w:val="000F411D"/>
    <w:rsid w:val="000F79F9"/>
    <w:rsid w:val="00101CD5"/>
    <w:rsid w:val="00102460"/>
    <w:rsid w:val="00104F8F"/>
    <w:rsid w:val="001076E0"/>
    <w:rsid w:val="00116DFB"/>
    <w:rsid w:val="001171E7"/>
    <w:rsid w:val="001218E5"/>
    <w:rsid w:val="0012196E"/>
    <w:rsid w:val="00121F0B"/>
    <w:rsid w:val="00124BB5"/>
    <w:rsid w:val="00130228"/>
    <w:rsid w:val="00136061"/>
    <w:rsid w:val="00141FA0"/>
    <w:rsid w:val="00142ED7"/>
    <w:rsid w:val="0014459C"/>
    <w:rsid w:val="00147142"/>
    <w:rsid w:val="00151B65"/>
    <w:rsid w:val="001539CD"/>
    <w:rsid w:val="00154226"/>
    <w:rsid w:val="001569FD"/>
    <w:rsid w:val="0016004F"/>
    <w:rsid w:val="00161F06"/>
    <w:rsid w:val="00164FAA"/>
    <w:rsid w:val="001654FC"/>
    <w:rsid w:val="00170030"/>
    <w:rsid w:val="00170426"/>
    <w:rsid w:val="00171A23"/>
    <w:rsid w:val="00172F89"/>
    <w:rsid w:val="0017305E"/>
    <w:rsid w:val="00177382"/>
    <w:rsid w:val="00180943"/>
    <w:rsid w:val="00187B14"/>
    <w:rsid w:val="00193E93"/>
    <w:rsid w:val="00196391"/>
    <w:rsid w:val="001A0211"/>
    <w:rsid w:val="001A34B7"/>
    <w:rsid w:val="001A3646"/>
    <w:rsid w:val="001A3D94"/>
    <w:rsid w:val="001A4202"/>
    <w:rsid w:val="001B03BC"/>
    <w:rsid w:val="001B5766"/>
    <w:rsid w:val="001C0944"/>
    <w:rsid w:val="001C14A8"/>
    <w:rsid w:val="001C3B19"/>
    <w:rsid w:val="001C3DC7"/>
    <w:rsid w:val="001C62EE"/>
    <w:rsid w:val="001D4A8E"/>
    <w:rsid w:val="001D4DA1"/>
    <w:rsid w:val="001D5A0F"/>
    <w:rsid w:val="001D5C4B"/>
    <w:rsid w:val="001D6792"/>
    <w:rsid w:val="001E06EA"/>
    <w:rsid w:val="001F07C2"/>
    <w:rsid w:val="0020245D"/>
    <w:rsid w:val="002034F0"/>
    <w:rsid w:val="00204215"/>
    <w:rsid w:val="00210520"/>
    <w:rsid w:val="002110A3"/>
    <w:rsid w:val="002155BD"/>
    <w:rsid w:val="002174E0"/>
    <w:rsid w:val="00223158"/>
    <w:rsid w:val="002254D4"/>
    <w:rsid w:val="00230EC9"/>
    <w:rsid w:val="00237345"/>
    <w:rsid w:val="00243BDB"/>
    <w:rsid w:val="00245FBA"/>
    <w:rsid w:val="00255ABD"/>
    <w:rsid w:val="0025785D"/>
    <w:rsid w:val="00260995"/>
    <w:rsid w:val="00260F02"/>
    <w:rsid w:val="00262F98"/>
    <w:rsid w:val="00266449"/>
    <w:rsid w:val="00272BA6"/>
    <w:rsid w:val="00281429"/>
    <w:rsid w:val="0028573A"/>
    <w:rsid w:val="00285DF4"/>
    <w:rsid w:val="00290E2C"/>
    <w:rsid w:val="00291DF7"/>
    <w:rsid w:val="002A345C"/>
    <w:rsid w:val="002A471A"/>
    <w:rsid w:val="002B1989"/>
    <w:rsid w:val="002B4792"/>
    <w:rsid w:val="002C4A6E"/>
    <w:rsid w:val="002C551E"/>
    <w:rsid w:val="002C6065"/>
    <w:rsid w:val="002D2507"/>
    <w:rsid w:val="002D5FFF"/>
    <w:rsid w:val="002F01ED"/>
    <w:rsid w:val="002F2729"/>
    <w:rsid w:val="002F4181"/>
    <w:rsid w:val="002F5FE8"/>
    <w:rsid w:val="002F6D09"/>
    <w:rsid w:val="002F7298"/>
    <w:rsid w:val="00300302"/>
    <w:rsid w:val="00300761"/>
    <w:rsid w:val="0032617C"/>
    <w:rsid w:val="00330873"/>
    <w:rsid w:val="00330EC0"/>
    <w:rsid w:val="00332DC6"/>
    <w:rsid w:val="00336624"/>
    <w:rsid w:val="00340D65"/>
    <w:rsid w:val="003433DF"/>
    <w:rsid w:val="00344975"/>
    <w:rsid w:val="0034771D"/>
    <w:rsid w:val="003545A9"/>
    <w:rsid w:val="00357BD3"/>
    <w:rsid w:val="00362F36"/>
    <w:rsid w:val="0036391B"/>
    <w:rsid w:val="00382C9D"/>
    <w:rsid w:val="00387750"/>
    <w:rsid w:val="00387EB3"/>
    <w:rsid w:val="00391A86"/>
    <w:rsid w:val="003965CE"/>
    <w:rsid w:val="003973AD"/>
    <w:rsid w:val="003A2570"/>
    <w:rsid w:val="003A4D3E"/>
    <w:rsid w:val="003A7FFE"/>
    <w:rsid w:val="003B14CC"/>
    <w:rsid w:val="003B1EA4"/>
    <w:rsid w:val="003C1B41"/>
    <w:rsid w:val="003E3DF3"/>
    <w:rsid w:val="003F06FC"/>
    <w:rsid w:val="003F5A98"/>
    <w:rsid w:val="0040020F"/>
    <w:rsid w:val="00404360"/>
    <w:rsid w:val="0040489F"/>
    <w:rsid w:val="00410A21"/>
    <w:rsid w:val="00411B2D"/>
    <w:rsid w:val="00414643"/>
    <w:rsid w:val="004147C2"/>
    <w:rsid w:val="004227E0"/>
    <w:rsid w:val="00423C7D"/>
    <w:rsid w:val="00426649"/>
    <w:rsid w:val="00431BDC"/>
    <w:rsid w:val="00446742"/>
    <w:rsid w:val="0044774D"/>
    <w:rsid w:val="0044799D"/>
    <w:rsid w:val="00453B57"/>
    <w:rsid w:val="004546C9"/>
    <w:rsid w:val="00467324"/>
    <w:rsid w:val="00467719"/>
    <w:rsid w:val="004812C6"/>
    <w:rsid w:val="004867D1"/>
    <w:rsid w:val="00487C9E"/>
    <w:rsid w:val="00492AA0"/>
    <w:rsid w:val="004946F0"/>
    <w:rsid w:val="00494F85"/>
    <w:rsid w:val="004A1D0A"/>
    <w:rsid w:val="004A5A3B"/>
    <w:rsid w:val="004A6DBC"/>
    <w:rsid w:val="004A7891"/>
    <w:rsid w:val="004B18D2"/>
    <w:rsid w:val="004B193D"/>
    <w:rsid w:val="004B57F9"/>
    <w:rsid w:val="004B72B5"/>
    <w:rsid w:val="004C06B7"/>
    <w:rsid w:val="004C4549"/>
    <w:rsid w:val="004C4C3A"/>
    <w:rsid w:val="004C4F9F"/>
    <w:rsid w:val="004D1938"/>
    <w:rsid w:val="004D2052"/>
    <w:rsid w:val="004E07AE"/>
    <w:rsid w:val="004E11AA"/>
    <w:rsid w:val="004F30C4"/>
    <w:rsid w:val="004F4356"/>
    <w:rsid w:val="004F65B5"/>
    <w:rsid w:val="004F6EC4"/>
    <w:rsid w:val="00500508"/>
    <w:rsid w:val="00504824"/>
    <w:rsid w:val="00512127"/>
    <w:rsid w:val="00527FD7"/>
    <w:rsid w:val="00531F1C"/>
    <w:rsid w:val="00533EE9"/>
    <w:rsid w:val="00547622"/>
    <w:rsid w:val="00550F96"/>
    <w:rsid w:val="005516C6"/>
    <w:rsid w:val="00554F4B"/>
    <w:rsid w:val="00556198"/>
    <w:rsid w:val="005604D8"/>
    <w:rsid w:val="005643F6"/>
    <w:rsid w:val="005657C7"/>
    <w:rsid w:val="00566534"/>
    <w:rsid w:val="0057458E"/>
    <w:rsid w:val="005753A9"/>
    <w:rsid w:val="00577A93"/>
    <w:rsid w:val="00577B05"/>
    <w:rsid w:val="005811F5"/>
    <w:rsid w:val="00585D4F"/>
    <w:rsid w:val="00586A73"/>
    <w:rsid w:val="00587338"/>
    <w:rsid w:val="0059179B"/>
    <w:rsid w:val="00594E32"/>
    <w:rsid w:val="00596EED"/>
    <w:rsid w:val="005B216E"/>
    <w:rsid w:val="005B4831"/>
    <w:rsid w:val="005B652E"/>
    <w:rsid w:val="005B7B64"/>
    <w:rsid w:val="005C2481"/>
    <w:rsid w:val="005D3A98"/>
    <w:rsid w:val="005D3ED4"/>
    <w:rsid w:val="005D6913"/>
    <w:rsid w:val="005E3E1A"/>
    <w:rsid w:val="005F130D"/>
    <w:rsid w:val="005F5219"/>
    <w:rsid w:val="005F6BC1"/>
    <w:rsid w:val="0060001A"/>
    <w:rsid w:val="00600A7A"/>
    <w:rsid w:val="00606D02"/>
    <w:rsid w:val="006073E8"/>
    <w:rsid w:val="00610E5D"/>
    <w:rsid w:val="00624ABD"/>
    <w:rsid w:val="00630B40"/>
    <w:rsid w:val="00634D97"/>
    <w:rsid w:val="00637560"/>
    <w:rsid w:val="006452DD"/>
    <w:rsid w:val="00651525"/>
    <w:rsid w:val="00653674"/>
    <w:rsid w:val="00657B43"/>
    <w:rsid w:val="00660CC4"/>
    <w:rsid w:val="00662ADA"/>
    <w:rsid w:val="006634D0"/>
    <w:rsid w:val="00664DFA"/>
    <w:rsid w:val="0066580D"/>
    <w:rsid w:val="006735DF"/>
    <w:rsid w:val="00675277"/>
    <w:rsid w:val="00675B0D"/>
    <w:rsid w:val="006761E3"/>
    <w:rsid w:val="00682BE9"/>
    <w:rsid w:val="006871CA"/>
    <w:rsid w:val="006871FE"/>
    <w:rsid w:val="006879B4"/>
    <w:rsid w:val="00696F0D"/>
    <w:rsid w:val="006A0F83"/>
    <w:rsid w:val="006A601C"/>
    <w:rsid w:val="006A62A6"/>
    <w:rsid w:val="006A649A"/>
    <w:rsid w:val="006A6547"/>
    <w:rsid w:val="006B0C3C"/>
    <w:rsid w:val="006B393A"/>
    <w:rsid w:val="006B4BC3"/>
    <w:rsid w:val="006B698F"/>
    <w:rsid w:val="006B6C31"/>
    <w:rsid w:val="006C12FC"/>
    <w:rsid w:val="006C7D36"/>
    <w:rsid w:val="006D0AE7"/>
    <w:rsid w:val="006D1758"/>
    <w:rsid w:val="006D2F57"/>
    <w:rsid w:val="006D3E3C"/>
    <w:rsid w:val="006D4401"/>
    <w:rsid w:val="006D5CCC"/>
    <w:rsid w:val="006E621E"/>
    <w:rsid w:val="006F6851"/>
    <w:rsid w:val="007013C8"/>
    <w:rsid w:val="0070517A"/>
    <w:rsid w:val="00706DCF"/>
    <w:rsid w:val="00721E37"/>
    <w:rsid w:val="007249EC"/>
    <w:rsid w:val="00725C7A"/>
    <w:rsid w:val="00732ACC"/>
    <w:rsid w:val="007406A7"/>
    <w:rsid w:val="007448BB"/>
    <w:rsid w:val="00744BF8"/>
    <w:rsid w:val="007479A9"/>
    <w:rsid w:val="00752729"/>
    <w:rsid w:val="007533A8"/>
    <w:rsid w:val="00757E54"/>
    <w:rsid w:val="007631BA"/>
    <w:rsid w:val="00763EF2"/>
    <w:rsid w:val="00764392"/>
    <w:rsid w:val="0076494B"/>
    <w:rsid w:val="007760B4"/>
    <w:rsid w:val="00776A9C"/>
    <w:rsid w:val="00777079"/>
    <w:rsid w:val="00796B5A"/>
    <w:rsid w:val="00797515"/>
    <w:rsid w:val="007A57DF"/>
    <w:rsid w:val="007B379B"/>
    <w:rsid w:val="007B38A5"/>
    <w:rsid w:val="007B7243"/>
    <w:rsid w:val="007C2509"/>
    <w:rsid w:val="007C6D8D"/>
    <w:rsid w:val="007D23B0"/>
    <w:rsid w:val="007D2B0B"/>
    <w:rsid w:val="007D38B9"/>
    <w:rsid w:val="007D3F0B"/>
    <w:rsid w:val="007D6AFC"/>
    <w:rsid w:val="007E19DF"/>
    <w:rsid w:val="007E3AA1"/>
    <w:rsid w:val="007E5A5B"/>
    <w:rsid w:val="007F765A"/>
    <w:rsid w:val="00825E68"/>
    <w:rsid w:val="00833212"/>
    <w:rsid w:val="00835D77"/>
    <w:rsid w:val="00842573"/>
    <w:rsid w:val="00847C80"/>
    <w:rsid w:val="00850D28"/>
    <w:rsid w:val="00853550"/>
    <w:rsid w:val="00855315"/>
    <w:rsid w:val="0085787B"/>
    <w:rsid w:val="00860417"/>
    <w:rsid w:val="00861149"/>
    <w:rsid w:val="00876763"/>
    <w:rsid w:val="00881CB2"/>
    <w:rsid w:val="00886E49"/>
    <w:rsid w:val="0088758C"/>
    <w:rsid w:val="00892B4D"/>
    <w:rsid w:val="008A2C16"/>
    <w:rsid w:val="008B167C"/>
    <w:rsid w:val="008B419C"/>
    <w:rsid w:val="008B7D47"/>
    <w:rsid w:val="008C014D"/>
    <w:rsid w:val="008D049B"/>
    <w:rsid w:val="008D280B"/>
    <w:rsid w:val="008E5CA9"/>
    <w:rsid w:val="008E763C"/>
    <w:rsid w:val="008E7F5E"/>
    <w:rsid w:val="00901357"/>
    <w:rsid w:val="0090173B"/>
    <w:rsid w:val="0090216D"/>
    <w:rsid w:val="00904368"/>
    <w:rsid w:val="0091129B"/>
    <w:rsid w:val="00915E15"/>
    <w:rsid w:val="009247EE"/>
    <w:rsid w:val="00924FFA"/>
    <w:rsid w:val="00925D06"/>
    <w:rsid w:val="0093477F"/>
    <w:rsid w:val="00934D74"/>
    <w:rsid w:val="009354D8"/>
    <w:rsid w:val="00936016"/>
    <w:rsid w:val="00937BC8"/>
    <w:rsid w:val="0094403B"/>
    <w:rsid w:val="009466F4"/>
    <w:rsid w:val="00952985"/>
    <w:rsid w:val="00952C38"/>
    <w:rsid w:val="00952D09"/>
    <w:rsid w:val="00960CC0"/>
    <w:rsid w:val="00963560"/>
    <w:rsid w:val="009640C9"/>
    <w:rsid w:val="00964F81"/>
    <w:rsid w:val="009776A0"/>
    <w:rsid w:val="00983C89"/>
    <w:rsid w:val="00986735"/>
    <w:rsid w:val="00986978"/>
    <w:rsid w:val="0098742B"/>
    <w:rsid w:val="00987B21"/>
    <w:rsid w:val="00990159"/>
    <w:rsid w:val="00990F0A"/>
    <w:rsid w:val="009910AE"/>
    <w:rsid w:val="00992216"/>
    <w:rsid w:val="00993EC1"/>
    <w:rsid w:val="009A232F"/>
    <w:rsid w:val="009A3E07"/>
    <w:rsid w:val="009B522C"/>
    <w:rsid w:val="009C0513"/>
    <w:rsid w:val="009C6EA1"/>
    <w:rsid w:val="009D2416"/>
    <w:rsid w:val="009D66D7"/>
    <w:rsid w:val="009E013E"/>
    <w:rsid w:val="009E6302"/>
    <w:rsid w:val="009F1B2D"/>
    <w:rsid w:val="009F41C6"/>
    <w:rsid w:val="009F6A98"/>
    <w:rsid w:val="00A01A93"/>
    <w:rsid w:val="00A02685"/>
    <w:rsid w:val="00A0420F"/>
    <w:rsid w:val="00A04C81"/>
    <w:rsid w:val="00A0705F"/>
    <w:rsid w:val="00A264F7"/>
    <w:rsid w:val="00A2692A"/>
    <w:rsid w:val="00A27C14"/>
    <w:rsid w:val="00A3351D"/>
    <w:rsid w:val="00A36875"/>
    <w:rsid w:val="00A435B8"/>
    <w:rsid w:val="00A441B1"/>
    <w:rsid w:val="00A518F0"/>
    <w:rsid w:val="00A55331"/>
    <w:rsid w:val="00A61FB1"/>
    <w:rsid w:val="00A63F2C"/>
    <w:rsid w:val="00A665B3"/>
    <w:rsid w:val="00A75815"/>
    <w:rsid w:val="00A81050"/>
    <w:rsid w:val="00A81F16"/>
    <w:rsid w:val="00A82FFC"/>
    <w:rsid w:val="00A9578D"/>
    <w:rsid w:val="00AA6145"/>
    <w:rsid w:val="00AB09FD"/>
    <w:rsid w:val="00AB1276"/>
    <w:rsid w:val="00AB1E59"/>
    <w:rsid w:val="00AB35B5"/>
    <w:rsid w:val="00AB57D6"/>
    <w:rsid w:val="00AB69A0"/>
    <w:rsid w:val="00AC16A5"/>
    <w:rsid w:val="00AC6B50"/>
    <w:rsid w:val="00AC71D7"/>
    <w:rsid w:val="00AE0448"/>
    <w:rsid w:val="00AE2ADD"/>
    <w:rsid w:val="00AE4E8E"/>
    <w:rsid w:val="00AE6955"/>
    <w:rsid w:val="00AE7827"/>
    <w:rsid w:val="00AF10F5"/>
    <w:rsid w:val="00AF750A"/>
    <w:rsid w:val="00B11B65"/>
    <w:rsid w:val="00B11EB5"/>
    <w:rsid w:val="00B14F58"/>
    <w:rsid w:val="00B1739B"/>
    <w:rsid w:val="00B21448"/>
    <w:rsid w:val="00B23523"/>
    <w:rsid w:val="00B26724"/>
    <w:rsid w:val="00B272F4"/>
    <w:rsid w:val="00B3180D"/>
    <w:rsid w:val="00B34D0F"/>
    <w:rsid w:val="00B4540E"/>
    <w:rsid w:val="00B50DCA"/>
    <w:rsid w:val="00B51990"/>
    <w:rsid w:val="00B530D1"/>
    <w:rsid w:val="00B572A1"/>
    <w:rsid w:val="00B62C82"/>
    <w:rsid w:val="00B6385E"/>
    <w:rsid w:val="00B63DFA"/>
    <w:rsid w:val="00B6419C"/>
    <w:rsid w:val="00B64E02"/>
    <w:rsid w:val="00B66326"/>
    <w:rsid w:val="00B70550"/>
    <w:rsid w:val="00B83003"/>
    <w:rsid w:val="00B83A86"/>
    <w:rsid w:val="00B8710F"/>
    <w:rsid w:val="00B87B23"/>
    <w:rsid w:val="00B92159"/>
    <w:rsid w:val="00BA221C"/>
    <w:rsid w:val="00BA2F1C"/>
    <w:rsid w:val="00BA58EB"/>
    <w:rsid w:val="00BA7990"/>
    <w:rsid w:val="00BD4FC4"/>
    <w:rsid w:val="00BE023E"/>
    <w:rsid w:val="00BE25AF"/>
    <w:rsid w:val="00BE3F2F"/>
    <w:rsid w:val="00BF131E"/>
    <w:rsid w:val="00BF155C"/>
    <w:rsid w:val="00BF3BAE"/>
    <w:rsid w:val="00BF542C"/>
    <w:rsid w:val="00BF5E33"/>
    <w:rsid w:val="00BF628F"/>
    <w:rsid w:val="00C025C9"/>
    <w:rsid w:val="00C04690"/>
    <w:rsid w:val="00C06626"/>
    <w:rsid w:val="00C15D0E"/>
    <w:rsid w:val="00C23826"/>
    <w:rsid w:val="00C239DB"/>
    <w:rsid w:val="00C26E4E"/>
    <w:rsid w:val="00C31D1E"/>
    <w:rsid w:val="00C34943"/>
    <w:rsid w:val="00C34BDB"/>
    <w:rsid w:val="00C35062"/>
    <w:rsid w:val="00C4073D"/>
    <w:rsid w:val="00C40B73"/>
    <w:rsid w:val="00C42AB1"/>
    <w:rsid w:val="00C440CD"/>
    <w:rsid w:val="00C60DD6"/>
    <w:rsid w:val="00C65C48"/>
    <w:rsid w:val="00C7056C"/>
    <w:rsid w:val="00C72238"/>
    <w:rsid w:val="00C75EB8"/>
    <w:rsid w:val="00C8535B"/>
    <w:rsid w:val="00C9112F"/>
    <w:rsid w:val="00C938C1"/>
    <w:rsid w:val="00C93F2F"/>
    <w:rsid w:val="00C961ED"/>
    <w:rsid w:val="00C978FB"/>
    <w:rsid w:val="00CA1D9A"/>
    <w:rsid w:val="00CA2B51"/>
    <w:rsid w:val="00CA5AF0"/>
    <w:rsid w:val="00CA6D3B"/>
    <w:rsid w:val="00CB19BE"/>
    <w:rsid w:val="00CB250A"/>
    <w:rsid w:val="00CB2FBA"/>
    <w:rsid w:val="00CB3049"/>
    <w:rsid w:val="00CB314A"/>
    <w:rsid w:val="00CB32BF"/>
    <w:rsid w:val="00CB4DC3"/>
    <w:rsid w:val="00CC38A1"/>
    <w:rsid w:val="00CC3B71"/>
    <w:rsid w:val="00CC43D6"/>
    <w:rsid w:val="00CC58EC"/>
    <w:rsid w:val="00CD4C99"/>
    <w:rsid w:val="00CE0A0B"/>
    <w:rsid w:val="00CE51B2"/>
    <w:rsid w:val="00CE5706"/>
    <w:rsid w:val="00CE68D0"/>
    <w:rsid w:val="00CF690F"/>
    <w:rsid w:val="00D00271"/>
    <w:rsid w:val="00D00D56"/>
    <w:rsid w:val="00D011D3"/>
    <w:rsid w:val="00D204EB"/>
    <w:rsid w:val="00D206CF"/>
    <w:rsid w:val="00D2323B"/>
    <w:rsid w:val="00D240E5"/>
    <w:rsid w:val="00D32798"/>
    <w:rsid w:val="00D3294B"/>
    <w:rsid w:val="00D348B6"/>
    <w:rsid w:val="00D37042"/>
    <w:rsid w:val="00D400D1"/>
    <w:rsid w:val="00D4463F"/>
    <w:rsid w:val="00D473AF"/>
    <w:rsid w:val="00D478A7"/>
    <w:rsid w:val="00D5046C"/>
    <w:rsid w:val="00D51891"/>
    <w:rsid w:val="00D54B8D"/>
    <w:rsid w:val="00D643F3"/>
    <w:rsid w:val="00D6554D"/>
    <w:rsid w:val="00D66765"/>
    <w:rsid w:val="00D6682D"/>
    <w:rsid w:val="00D8071E"/>
    <w:rsid w:val="00D82339"/>
    <w:rsid w:val="00D83F52"/>
    <w:rsid w:val="00D84805"/>
    <w:rsid w:val="00D86DC9"/>
    <w:rsid w:val="00D876ED"/>
    <w:rsid w:val="00D934E7"/>
    <w:rsid w:val="00D9627F"/>
    <w:rsid w:val="00DA0FE3"/>
    <w:rsid w:val="00DA3CF7"/>
    <w:rsid w:val="00DB0959"/>
    <w:rsid w:val="00DB2201"/>
    <w:rsid w:val="00DB4335"/>
    <w:rsid w:val="00DB4499"/>
    <w:rsid w:val="00DB4800"/>
    <w:rsid w:val="00DC2D77"/>
    <w:rsid w:val="00DD23E3"/>
    <w:rsid w:val="00DE5709"/>
    <w:rsid w:val="00DE63E3"/>
    <w:rsid w:val="00DE756B"/>
    <w:rsid w:val="00DF0B9A"/>
    <w:rsid w:val="00DF4BC2"/>
    <w:rsid w:val="00DF5F79"/>
    <w:rsid w:val="00E00F37"/>
    <w:rsid w:val="00E03FA3"/>
    <w:rsid w:val="00E04CD6"/>
    <w:rsid w:val="00E166CD"/>
    <w:rsid w:val="00E249E1"/>
    <w:rsid w:val="00E2630C"/>
    <w:rsid w:val="00E3094B"/>
    <w:rsid w:val="00E3353C"/>
    <w:rsid w:val="00E43A21"/>
    <w:rsid w:val="00E46483"/>
    <w:rsid w:val="00E50D54"/>
    <w:rsid w:val="00E50E5B"/>
    <w:rsid w:val="00E547B0"/>
    <w:rsid w:val="00E54837"/>
    <w:rsid w:val="00E57472"/>
    <w:rsid w:val="00E606E0"/>
    <w:rsid w:val="00E612F2"/>
    <w:rsid w:val="00E65C30"/>
    <w:rsid w:val="00E7278D"/>
    <w:rsid w:val="00E76FD5"/>
    <w:rsid w:val="00E803E7"/>
    <w:rsid w:val="00E8273F"/>
    <w:rsid w:val="00E845E3"/>
    <w:rsid w:val="00E90069"/>
    <w:rsid w:val="00E900AA"/>
    <w:rsid w:val="00E97404"/>
    <w:rsid w:val="00EA1A41"/>
    <w:rsid w:val="00EA3E7E"/>
    <w:rsid w:val="00EB5F32"/>
    <w:rsid w:val="00EB6B5B"/>
    <w:rsid w:val="00ED1A7A"/>
    <w:rsid w:val="00ED7BF8"/>
    <w:rsid w:val="00EE0D93"/>
    <w:rsid w:val="00EE5A8A"/>
    <w:rsid w:val="00EF7473"/>
    <w:rsid w:val="00EF7A15"/>
    <w:rsid w:val="00F0478F"/>
    <w:rsid w:val="00F07182"/>
    <w:rsid w:val="00F07F2F"/>
    <w:rsid w:val="00F2563E"/>
    <w:rsid w:val="00F31708"/>
    <w:rsid w:val="00F346D2"/>
    <w:rsid w:val="00F361EB"/>
    <w:rsid w:val="00F36758"/>
    <w:rsid w:val="00F54C0D"/>
    <w:rsid w:val="00F56C68"/>
    <w:rsid w:val="00F62915"/>
    <w:rsid w:val="00F62A2E"/>
    <w:rsid w:val="00F6594D"/>
    <w:rsid w:val="00F74B67"/>
    <w:rsid w:val="00F75F11"/>
    <w:rsid w:val="00F767D1"/>
    <w:rsid w:val="00F77F5B"/>
    <w:rsid w:val="00F83CC3"/>
    <w:rsid w:val="00F844C9"/>
    <w:rsid w:val="00F8624A"/>
    <w:rsid w:val="00F92D63"/>
    <w:rsid w:val="00F972B6"/>
    <w:rsid w:val="00FB2C93"/>
    <w:rsid w:val="00FB7B5B"/>
    <w:rsid w:val="00FC336F"/>
    <w:rsid w:val="00FD05A4"/>
    <w:rsid w:val="00FE40E2"/>
    <w:rsid w:val="00FE51E4"/>
    <w:rsid w:val="00FE5A79"/>
    <w:rsid w:val="00FF00C5"/>
    <w:rsid w:val="00FF78F1"/>
    <w:rsid w:val="00FF7FAE"/>
    <w:rsid w:val="013546CE"/>
    <w:rsid w:val="09CA24A6"/>
    <w:rsid w:val="10B76B78"/>
    <w:rsid w:val="10E11AFC"/>
    <w:rsid w:val="11C725D7"/>
    <w:rsid w:val="1A390FDD"/>
    <w:rsid w:val="1DD011F8"/>
    <w:rsid w:val="1F300DDF"/>
    <w:rsid w:val="1FE67AEB"/>
    <w:rsid w:val="1FEB2021"/>
    <w:rsid w:val="20015F82"/>
    <w:rsid w:val="26901AF6"/>
    <w:rsid w:val="2B0A5A1E"/>
    <w:rsid w:val="2CE24A20"/>
    <w:rsid w:val="320B60AC"/>
    <w:rsid w:val="320C7DB0"/>
    <w:rsid w:val="329B2F34"/>
    <w:rsid w:val="33F57EA5"/>
    <w:rsid w:val="38366345"/>
    <w:rsid w:val="38C02DC2"/>
    <w:rsid w:val="3C0D37F9"/>
    <w:rsid w:val="3C692A33"/>
    <w:rsid w:val="3D00699A"/>
    <w:rsid w:val="486C34F0"/>
    <w:rsid w:val="524538DB"/>
    <w:rsid w:val="582341B4"/>
    <w:rsid w:val="5AE323B9"/>
    <w:rsid w:val="5B9B22A1"/>
    <w:rsid w:val="5E157BB8"/>
    <w:rsid w:val="65760AD4"/>
    <w:rsid w:val="688A4628"/>
    <w:rsid w:val="68E97D7D"/>
    <w:rsid w:val="696361D1"/>
    <w:rsid w:val="69E03564"/>
    <w:rsid w:val="6C8C040B"/>
    <w:rsid w:val="6EE17C91"/>
    <w:rsid w:val="71681CCC"/>
    <w:rsid w:val="75F26B56"/>
    <w:rsid w:val="75F84AC7"/>
    <w:rsid w:val="776A1D22"/>
    <w:rsid w:val="794D45F3"/>
    <w:rsid w:val="7A1C79D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style>
  <w:style w:type="paragraph" w:styleId="3">
    <w:name w:val="Balloon Text"/>
    <w:basedOn w:val="1"/>
    <w:link w:val="16"/>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99"/>
    <w:rPr>
      <w:b/>
      <w:bCs/>
    </w:rPr>
  </w:style>
  <w:style w:type="table" w:styleId="8">
    <w:name w:val="Table Grid"/>
    <w:basedOn w:val="7"/>
    <w:qFormat/>
    <w:locked/>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page number"/>
    <w:basedOn w:val="9"/>
    <w:qFormat/>
    <w:uiPriority w:val="99"/>
    <w:rPr>
      <w:rFonts w:cs="Times New Roman"/>
    </w:rPr>
  </w:style>
  <w:style w:type="character" w:styleId="11">
    <w:name w:val="annotation reference"/>
    <w:basedOn w:val="9"/>
    <w:qFormat/>
    <w:uiPriority w:val="99"/>
    <w:rPr>
      <w:rFonts w:cs="Times New Roman"/>
      <w:sz w:val="21"/>
    </w:rPr>
  </w:style>
  <w:style w:type="character" w:customStyle="1" w:styleId="12">
    <w:name w:val="页眉 字符"/>
    <w:basedOn w:val="9"/>
    <w:link w:val="5"/>
    <w:qFormat/>
    <w:locked/>
    <w:uiPriority w:val="99"/>
    <w:rPr>
      <w:kern w:val="2"/>
      <w:sz w:val="18"/>
    </w:rPr>
  </w:style>
  <w:style w:type="character" w:customStyle="1" w:styleId="13">
    <w:name w:val="页脚 字符"/>
    <w:basedOn w:val="9"/>
    <w:link w:val="4"/>
    <w:qFormat/>
    <w:locked/>
    <w:uiPriority w:val="99"/>
    <w:rPr>
      <w:kern w:val="2"/>
      <w:sz w:val="18"/>
    </w:rPr>
  </w:style>
  <w:style w:type="character" w:customStyle="1" w:styleId="14">
    <w:name w:val="批注文字 字符"/>
    <w:basedOn w:val="9"/>
    <w:link w:val="2"/>
    <w:qFormat/>
    <w:locked/>
    <w:uiPriority w:val="99"/>
    <w:rPr>
      <w:kern w:val="2"/>
      <w:sz w:val="24"/>
    </w:rPr>
  </w:style>
  <w:style w:type="character" w:customStyle="1" w:styleId="15">
    <w:name w:val="批注主题 字符"/>
    <w:basedOn w:val="14"/>
    <w:link w:val="6"/>
    <w:qFormat/>
    <w:locked/>
    <w:uiPriority w:val="99"/>
    <w:rPr>
      <w:b/>
      <w:kern w:val="2"/>
      <w:sz w:val="24"/>
    </w:rPr>
  </w:style>
  <w:style w:type="character" w:customStyle="1" w:styleId="16">
    <w:name w:val="批注框文本 字符"/>
    <w:basedOn w:val="9"/>
    <w:link w:val="3"/>
    <w:qFormat/>
    <w:locked/>
    <w:uiPriority w:val="99"/>
    <w:rPr>
      <w:kern w:val="2"/>
      <w:sz w:val="18"/>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765</Words>
  <Characters>4361</Characters>
  <Lines>36</Lines>
  <Paragraphs>10</Paragraphs>
  <TotalTime>31</TotalTime>
  <ScaleCrop>false</ScaleCrop>
  <LinksUpToDate>false</LinksUpToDate>
  <CharactersWithSpaces>5116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2020-06-29T02:20:00Z</dcterms:created>
  <dc:creator>陆海华</dc:creator>
  <cp:lastModifiedBy>01125439</cp:lastModifiedBy>
  <cp:lastPrinted>2015-06-30T04:11:00Z</cp:lastPrinted>
  <dcterms:modified xsi:type="dcterms:W3CDTF">2024-01-15T05:51:16Z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7A4705CBF49041E8B1D2F56E0F9D6825</vt:lpwstr>
  </property>
</Properties>
</file>