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中国</w:t>
      </w:r>
      <w:r>
        <w:rPr>
          <w:rFonts w:hint="eastAsia" w:ascii="黑体" w:hAnsi="黑体" w:eastAsia="黑体" w:cs="黑体"/>
          <w:sz w:val="32"/>
          <w:szCs w:val="32"/>
          <w:lang w:eastAsia="zh-CN"/>
        </w:rPr>
        <w:t>华融</w:t>
      </w:r>
      <w:r>
        <w:rPr>
          <w:rFonts w:hint="eastAsia" w:ascii="黑体" w:hAnsi="黑体" w:eastAsia="黑体" w:cs="黑体"/>
          <w:sz w:val="32"/>
          <w:szCs w:val="32"/>
        </w:rPr>
        <w:t>资产管理股份有限公司河南省分公司</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关于许昌森源发制品有限公司等</w:t>
      </w:r>
      <w:r>
        <w:rPr>
          <w:rFonts w:hint="eastAsia" w:ascii="黑体" w:hAnsi="黑体" w:eastAsia="黑体" w:cs="黑体"/>
          <w:sz w:val="32"/>
          <w:szCs w:val="32"/>
          <w:lang w:val="en-US" w:eastAsia="zh-CN"/>
        </w:rPr>
        <w:t>四户不良</w:t>
      </w:r>
      <w:r>
        <w:rPr>
          <w:rFonts w:hint="eastAsia" w:ascii="黑体" w:hAnsi="黑体" w:eastAsia="黑体" w:cs="黑体"/>
          <w:sz w:val="32"/>
          <w:szCs w:val="32"/>
        </w:rPr>
        <w:t>债权资产</w:t>
      </w:r>
      <w:r>
        <w:rPr>
          <w:rFonts w:hint="eastAsia" w:ascii="黑体" w:hAnsi="黑体" w:eastAsia="黑体" w:cs="黑体"/>
          <w:sz w:val="32"/>
          <w:szCs w:val="32"/>
          <w:lang w:val="en-US" w:eastAsia="zh-CN"/>
        </w:rPr>
        <w:t>处置</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rPr>
        <w:t>瑕疵</w:t>
      </w:r>
      <w:r>
        <w:rPr>
          <w:rFonts w:hint="eastAsia" w:ascii="黑体" w:hAnsi="黑体" w:eastAsia="黑体" w:cs="黑体"/>
          <w:sz w:val="32"/>
          <w:szCs w:val="32"/>
          <w:lang w:val="en-US" w:eastAsia="zh-CN"/>
        </w:rPr>
        <w:t>披露</w:t>
      </w:r>
      <w:r>
        <w:rPr>
          <w:rFonts w:hint="eastAsia" w:ascii="黑体" w:hAnsi="黑体" w:eastAsia="黑体" w:cs="黑体"/>
          <w:sz w:val="32"/>
          <w:szCs w:val="32"/>
        </w:rPr>
        <w:t>及</w:t>
      </w:r>
      <w:r>
        <w:rPr>
          <w:rFonts w:hint="eastAsia" w:ascii="黑体" w:hAnsi="黑体" w:eastAsia="黑体" w:cs="黑体"/>
          <w:sz w:val="32"/>
          <w:szCs w:val="32"/>
          <w:lang w:val="en-US" w:eastAsia="zh-CN"/>
        </w:rPr>
        <w:t>意向竞买人声明</w:t>
      </w:r>
      <w:r>
        <w:rPr>
          <w:rFonts w:hint="eastAsia" w:ascii="黑体" w:hAnsi="黑体" w:eastAsia="黑体" w:cs="黑体"/>
          <w:sz w:val="32"/>
          <w:szCs w:val="32"/>
        </w:rPr>
        <w:t>及</w:t>
      </w:r>
      <w:r>
        <w:rPr>
          <w:rFonts w:hint="eastAsia" w:ascii="黑体" w:hAnsi="黑体" w:eastAsia="黑体" w:cs="黑体"/>
          <w:sz w:val="32"/>
          <w:szCs w:val="32"/>
          <w:lang w:val="en-US" w:eastAsia="zh-CN"/>
        </w:rPr>
        <w:t>保证</w:t>
      </w:r>
    </w:p>
    <w:p>
      <w:pPr>
        <w:spacing w:line="560" w:lineRule="exact"/>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中国华融资产管理股份有限公司河南省分公司（</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下称“华融河南分公司”</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）拟转让持有的许昌森源发制品有限公司、禹州市国光陶瓷有限公司、河南久龙橡胶有限公司、河南省豫广市政园林工程有限公司</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四户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债权资产（以下统称为“标的资产”），现将该债权瑕疵、风险等重大事项告知如下：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标的资产基本情况</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textAlignment w:val="auto"/>
        <w:rPr>
          <w:rFonts w:hint="eastAsia"/>
          <w:lang w:eastAsia="zh-CN"/>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截至2023年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四户不良债权金额总计为64,017,034.37元,包括债权本金41,973,453.97元以及按照贷款合同约定或相关生效法律文书计算的利息（含罚息、复利）等21,794,023.40元，费用249,557.00元。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具体如下：</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396"/>
        <w:gridCol w:w="1459"/>
        <w:gridCol w:w="1124"/>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759" w:type="pct"/>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债务人名称</w:t>
            </w:r>
          </w:p>
        </w:tc>
        <w:tc>
          <w:tcPr>
            <w:tcW w:w="813" w:type="pct"/>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bCs/>
                <w:color w:val="000000"/>
                <w:kern w:val="0"/>
                <w:sz w:val="18"/>
                <w:szCs w:val="18"/>
                <w:highlight w:val="none"/>
                <w:lang w:eastAsia="zh-CN"/>
              </w:rPr>
            </w:pPr>
            <w:r>
              <w:rPr>
                <w:rFonts w:hint="eastAsia" w:ascii="宋体" w:hAnsi="宋体" w:eastAsia="宋体" w:cs="宋体"/>
                <w:b/>
                <w:bCs/>
                <w:color w:val="000000"/>
                <w:kern w:val="0"/>
                <w:sz w:val="18"/>
                <w:szCs w:val="18"/>
                <w:highlight w:val="none"/>
              </w:rPr>
              <w:t>本金</w:t>
            </w:r>
            <w:r>
              <w:rPr>
                <w:rFonts w:hint="eastAsia" w:ascii="宋体" w:hAnsi="宋体" w:eastAsia="宋体" w:cs="宋体"/>
                <w:b/>
                <w:bCs/>
                <w:color w:val="000000"/>
                <w:kern w:val="0"/>
                <w:sz w:val="18"/>
                <w:szCs w:val="18"/>
                <w:highlight w:val="none"/>
                <w:lang w:eastAsia="zh-CN"/>
              </w:rPr>
              <w:t>（</w:t>
            </w:r>
            <w:r>
              <w:rPr>
                <w:rFonts w:hint="eastAsia" w:ascii="宋体" w:hAnsi="宋体" w:eastAsia="宋体" w:cs="宋体"/>
                <w:b/>
                <w:bCs/>
                <w:color w:val="000000"/>
                <w:kern w:val="0"/>
                <w:sz w:val="18"/>
                <w:szCs w:val="18"/>
                <w:highlight w:val="none"/>
                <w:lang w:val="en-US" w:eastAsia="zh-CN"/>
              </w:rPr>
              <w:t>元</w:t>
            </w:r>
            <w:r>
              <w:rPr>
                <w:rFonts w:hint="eastAsia" w:ascii="宋体" w:hAnsi="宋体" w:eastAsia="宋体" w:cs="宋体"/>
                <w:b/>
                <w:bCs/>
                <w:color w:val="000000"/>
                <w:kern w:val="0"/>
                <w:sz w:val="18"/>
                <w:szCs w:val="18"/>
                <w:highlight w:val="none"/>
                <w:lang w:eastAsia="zh-CN"/>
              </w:rPr>
              <w:t>）</w:t>
            </w:r>
          </w:p>
        </w:tc>
        <w:tc>
          <w:tcPr>
            <w:tcW w:w="860" w:type="pct"/>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利息</w:t>
            </w:r>
            <w:r>
              <w:rPr>
                <w:rFonts w:hint="eastAsia" w:ascii="宋体" w:hAnsi="宋体" w:eastAsia="宋体" w:cs="宋体"/>
                <w:b/>
                <w:bCs/>
                <w:color w:val="000000"/>
                <w:kern w:val="0"/>
                <w:sz w:val="18"/>
                <w:szCs w:val="18"/>
                <w:highlight w:val="none"/>
                <w:lang w:eastAsia="zh-CN"/>
              </w:rPr>
              <w:t>（</w:t>
            </w:r>
            <w:r>
              <w:rPr>
                <w:rFonts w:hint="eastAsia" w:ascii="宋体" w:hAnsi="宋体" w:eastAsia="宋体" w:cs="宋体"/>
                <w:b/>
                <w:bCs/>
                <w:color w:val="000000"/>
                <w:kern w:val="0"/>
                <w:sz w:val="18"/>
                <w:szCs w:val="18"/>
                <w:highlight w:val="none"/>
                <w:lang w:val="en-US" w:eastAsia="zh-CN"/>
              </w:rPr>
              <w:t>元</w:t>
            </w:r>
            <w:r>
              <w:rPr>
                <w:rFonts w:hint="eastAsia" w:ascii="宋体" w:hAnsi="宋体" w:eastAsia="宋体" w:cs="宋体"/>
                <w:b/>
                <w:bCs/>
                <w:color w:val="000000"/>
                <w:kern w:val="0"/>
                <w:sz w:val="18"/>
                <w:szCs w:val="18"/>
                <w:highlight w:val="none"/>
                <w:lang w:eastAsia="zh-CN"/>
              </w:rPr>
              <w:t>）</w:t>
            </w:r>
          </w:p>
        </w:tc>
        <w:tc>
          <w:tcPr>
            <w:tcW w:w="655" w:type="pct"/>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color w:val="000000"/>
                <w:kern w:val="0"/>
                <w:sz w:val="18"/>
                <w:szCs w:val="18"/>
                <w:highlight w:val="none"/>
                <w:lang w:val="en-US" w:eastAsia="zh-CN"/>
              </w:rPr>
            </w:pPr>
            <w:r>
              <w:rPr>
                <w:rFonts w:hint="eastAsia" w:ascii="宋体" w:hAnsi="宋体" w:cs="宋体"/>
                <w:b/>
                <w:bCs/>
                <w:color w:val="000000"/>
                <w:kern w:val="0"/>
                <w:sz w:val="18"/>
                <w:szCs w:val="18"/>
                <w:highlight w:val="none"/>
                <w:lang w:val="en-US" w:eastAsia="zh-CN"/>
              </w:rPr>
              <w:t>垫付费用（元）</w:t>
            </w:r>
          </w:p>
        </w:tc>
        <w:tc>
          <w:tcPr>
            <w:tcW w:w="1911" w:type="pct"/>
            <w:vAlign w:val="center"/>
          </w:tcPr>
          <w:p>
            <w:pPr>
              <w:keepNext w:val="0"/>
              <w:keepLines w:val="0"/>
              <w:widowControl/>
              <w:suppressLineNumbers w:val="0"/>
              <w:spacing w:before="0" w:beforeAutospacing="0" w:after="0" w:afterAutospacing="0" w:line="240" w:lineRule="auto"/>
              <w:ind w:left="0" w:leftChars="0" w:right="0" w:rightChars="0"/>
              <w:jc w:val="center"/>
              <w:rPr>
                <w:rFonts w:hint="eastAsia" w:ascii="宋体" w:hAnsi="宋体" w:eastAsia="宋体" w:cs="宋体"/>
                <w:b/>
                <w:bCs/>
                <w:color w:val="000000"/>
                <w:kern w:val="0"/>
                <w:sz w:val="18"/>
                <w:szCs w:val="18"/>
                <w:highlight w:val="none"/>
                <w:lang w:val="en-US" w:eastAsia="zh-CN" w:bidi="ar-SA"/>
              </w:rPr>
            </w:pPr>
            <w:r>
              <w:rPr>
                <w:rFonts w:hint="eastAsia" w:ascii="宋体" w:hAnsi="宋体" w:eastAsia="宋体" w:cs="宋体"/>
                <w:b/>
                <w:bCs/>
                <w:color w:val="000000"/>
                <w:kern w:val="0"/>
                <w:sz w:val="18"/>
                <w:szCs w:val="18"/>
                <w:highlight w:val="none"/>
                <w:lang w:val="en-US" w:eastAsia="zh-CN"/>
              </w:rPr>
              <w:t>债权担保情况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292" w:type="dxa"/>
            <w:vAlign w:val="center"/>
          </w:tcPr>
          <w:p>
            <w:pPr>
              <w:spacing w:line="240" w:lineRule="auto"/>
              <w:ind w:left="0" w:leftChars="0" w:firstLine="0" w:firstLineChars="0"/>
              <w:jc w:val="both"/>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sz w:val="18"/>
                <w:szCs w:val="18"/>
                <w:u w:val="none"/>
              </w:rPr>
              <w:t>许昌森源发制品有限公司</w:t>
            </w:r>
          </w:p>
        </w:tc>
        <w:tc>
          <w:tcPr>
            <w:tcW w:w="1386"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21,672,034.78</w:t>
            </w:r>
          </w:p>
        </w:tc>
        <w:tc>
          <w:tcPr>
            <w:tcW w:w="1465"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u w:val="none"/>
                <w:lang w:val="en-US" w:eastAsia="zh-CN" w:bidi="ar"/>
              </w:rPr>
              <w:t>8,511,895.64</w:t>
            </w:r>
          </w:p>
        </w:tc>
        <w:tc>
          <w:tcPr>
            <w:tcW w:w="11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249,557.00</w:t>
            </w:r>
          </w:p>
        </w:tc>
        <w:tc>
          <w:tcPr>
            <w:tcW w:w="3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抵押物：</w:t>
            </w:r>
            <w:r>
              <w:rPr>
                <w:rFonts w:hint="eastAsia" w:ascii="宋体" w:hAnsi="宋体" w:eastAsia="宋体" w:cs="宋体"/>
                <w:i w:val="0"/>
                <w:color w:val="000000"/>
                <w:kern w:val="0"/>
                <w:sz w:val="18"/>
                <w:szCs w:val="18"/>
                <w:u w:val="none"/>
                <w:lang w:val="en-US" w:eastAsia="zh-CN" w:bidi="ar"/>
              </w:rPr>
              <w:t>借款人名下位于禹州市轩辕大路东侧产业园面积14666.67平米工业用地以及地上7976.99平米厂房；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b/>
                <w:bCs/>
                <w:i w:val="0"/>
                <w:color w:val="000000"/>
                <w:kern w:val="0"/>
                <w:sz w:val="18"/>
                <w:szCs w:val="18"/>
                <w:u w:val="none"/>
                <w:lang w:val="en-US" w:eastAsia="zh-CN" w:bidi="ar"/>
              </w:rPr>
              <w:t>保证人：</w:t>
            </w:r>
            <w:r>
              <w:rPr>
                <w:rFonts w:hint="eastAsia" w:ascii="宋体" w:hAnsi="宋体" w:eastAsia="宋体" w:cs="宋体"/>
                <w:i w:val="0"/>
                <w:color w:val="000000"/>
                <w:kern w:val="0"/>
                <w:sz w:val="18"/>
                <w:szCs w:val="18"/>
                <w:u w:val="none"/>
                <w:lang w:val="en-US" w:eastAsia="zh-CN" w:bidi="ar"/>
              </w:rPr>
              <w:t>禹州市森源房地产有限公司、禹州市中盛纸业有限公司、赵同鑫、张素霞、张居耀、闫彩苹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2" w:type="dxa"/>
            <w:vAlign w:val="center"/>
          </w:tcPr>
          <w:p>
            <w:pPr>
              <w:spacing w:line="240" w:lineRule="auto"/>
              <w:ind w:left="0" w:leftChars="0" w:firstLine="0" w:firstLineChars="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sz w:val="18"/>
                <w:szCs w:val="18"/>
                <w:u w:val="none"/>
              </w:rPr>
              <w:t>河南省豫广市政园林工程有限公司</w:t>
            </w:r>
          </w:p>
        </w:tc>
        <w:tc>
          <w:tcPr>
            <w:tcW w:w="13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11,224,263.83</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color w:val="000000"/>
                <w:kern w:val="0"/>
                <w:sz w:val="18"/>
                <w:szCs w:val="18"/>
                <w:lang w:bidi="ar"/>
              </w:rPr>
              <w:t>8</w:t>
            </w:r>
            <w:r>
              <w:rPr>
                <w:rFonts w:hint="eastAsia" w:ascii="宋体" w:hAnsi="宋体" w:eastAsia="宋体" w:cs="宋体"/>
                <w:color w:val="000000"/>
                <w:kern w:val="0"/>
                <w:sz w:val="18"/>
                <w:szCs w:val="18"/>
                <w:lang w:val="en-US" w:eastAsia="zh-CN" w:bidi="ar"/>
              </w:rPr>
              <w:t>,</w:t>
            </w:r>
            <w:r>
              <w:rPr>
                <w:rFonts w:hint="eastAsia" w:ascii="宋体" w:hAnsi="宋体" w:eastAsia="宋体" w:cs="宋体"/>
                <w:color w:val="000000"/>
                <w:kern w:val="0"/>
                <w:sz w:val="18"/>
                <w:szCs w:val="18"/>
                <w:lang w:bidi="ar"/>
              </w:rPr>
              <w:t>084</w:t>
            </w:r>
            <w:r>
              <w:rPr>
                <w:rFonts w:hint="eastAsia" w:ascii="宋体" w:hAnsi="宋体" w:eastAsia="宋体" w:cs="宋体"/>
                <w:color w:val="000000"/>
                <w:kern w:val="0"/>
                <w:sz w:val="18"/>
                <w:szCs w:val="18"/>
                <w:lang w:val="en-US" w:eastAsia="zh-CN" w:bidi="ar"/>
              </w:rPr>
              <w:t>,</w:t>
            </w:r>
            <w:r>
              <w:rPr>
                <w:rFonts w:hint="eastAsia" w:ascii="宋体" w:hAnsi="宋体" w:eastAsia="宋体" w:cs="宋体"/>
                <w:color w:val="000000"/>
                <w:kern w:val="0"/>
                <w:sz w:val="18"/>
                <w:szCs w:val="18"/>
                <w:lang w:bidi="ar"/>
              </w:rPr>
              <w:t>335.04</w:t>
            </w:r>
          </w:p>
        </w:tc>
        <w:tc>
          <w:tcPr>
            <w:tcW w:w="11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保证人：</w:t>
            </w:r>
            <w:r>
              <w:rPr>
                <w:rFonts w:hint="eastAsia" w:ascii="宋体" w:hAnsi="宋体" w:eastAsia="宋体" w:cs="宋体"/>
                <w:i w:val="0"/>
                <w:iCs w:val="0"/>
                <w:color w:val="000000"/>
                <w:kern w:val="0"/>
                <w:sz w:val="18"/>
                <w:szCs w:val="18"/>
                <w:u w:val="none"/>
                <w:lang w:val="en-US" w:eastAsia="zh-CN" w:bidi="ar"/>
              </w:rPr>
              <w:t>河南众森园林工程有限公司、石国停、宋红涛、石云飞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2" w:type="dxa"/>
            <w:vAlign w:val="center"/>
          </w:tcPr>
          <w:p>
            <w:pPr>
              <w:spacing w:line="240" w:lineRule="auto"/>
              <w:ind w:left="0" w:leftChars="0" w:firstLine="0" w:firstLineChars="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sz w:val="18"/>
                <w:szCs w:val="18"/>
                <w:u w:val="none"/>
              </w:rPr>
              <w:t>河南久龙橡胶有限公司</w:t>
            </w:r>
          </w:p>
        </w:tc>
        <w:tc>
          <w:tcPr>
            <w:tcW w:w="13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val="0"/>
                <w:bCs/>
                <w:color w:val="000000"/>
                <w:kern w:val="0"/>
                <w:sz w:val="18"/>
                <w:szCs w:val="18"/>
                <w:highlight w:val="none"/>
                <w:lang w:val="en-US" w:eastAsia="zh-CN"/>
              </w:rPr>
              <w:t>2,141,348.25</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b w:val="0"/>
                <w:bCs/>
                <w:color w:val="000000"/>
                <w:kern w:val="0"/>
                <w:sz w:val="18"/>
                <w:szCs w:val="18"/>
                <w:highlight w:val="none"/>
                <w:lang w:val="en-US" w:eastAsia="zh-CN"/>
              </w:rPr>
              <w:t>2,971,828.17</w:t>
            </w:r>
          </w:p>
        </w:tc>
        <w:tc>
          <w:tcPr>
            <w:tcW w:w="11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b w:val="0"/>
                <w:bCs/>
                <w:color w:val="000000"/>
                <w:kern w:val="0"/>
                <w:sz w:val="18"/>
                <w:szCs w:val="18"/>
                <w:highlight w:val="none"/>
                <w:lang w:val="en-US" w:eastAsia="zh-CN"/>
              </w:rPr>
              <w:t>-</w:t>
            </w:r>
          </w:p>
        </w:tc>
        <w:tc>
          <w:tcPr>
            <w:tcW w:w="3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保证人：</w:t>
            </w:r>
            <w:r>
              <w:rPr>
                <w:rFonts w:hint="eastAsia" w:ascii="宋体" w:hAnsi="宋体" w:eastAsia="宋体" w:cs="宋体"/>
                <w:i w:val="0"/>
                <w:iCs w:val="0"/>
                <w:color w:val="000000"/>
                <w:kern w:val="0"/>
                <w:sz w:val="18"/>
                <w:szCs w:val="18"/>
                <w:u w:val="none"/>
                <w:lang w:val="en-US" w:eastAsia="zh-CN" w:bidi="ar"/>
              </w:rPr>
              <w:t>河南上蝶阀门股份有限公司、河南信诚华夏投资担保有限公司、郭建章、高如意、李鹏辉、杨巧珍、连超杰、何玉平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92" w:type="dxa"/>
            <w:vAlign w:val="center"/>
          </w:tcPr>
          <w:p>
            <w:pPr>
              <w:spacing w:line="240" w:lineRule="auto"/>
              <w:ind w:left="0" w:leftChars="0" w:firstLine="0" w:firstLineChars="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sz w:val="18"/>
                <w:szCs w:val="18"/>
                <w:u w:val="none"/>
              </w:rPr>
              <w:t>禹州市国光陶瓷有限公司</w:t>
            </w:r>
          </w:p>
        </w:tc>
        <w:tc>
          <w:tcPr>
            <w:tcW w:w="13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val="0"/>
                <w:bCs/>
                <w:color w:val="000000"/>
                <w:kern w:val="0"/>
                <w:sz w:val="18"/>
                <w:szCs w:val="18"/>
                <w:highlight w:val="none"/>
                <w:lang w:val="en-US" w:eastAsia="zh-CN"/>
              </w:rPr>
              <w:t>6,935,807.11</w:t>
            </w:r>
          </w:p>
        </w:tc>
        <w:tc>
          <w:tcPr>
            <w:tcW w:w="146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18"/>
                <w:szCs w:val="18"/>
                <w:lang w:bidi="ar"/>
              </w:rPr>
            </w:pPr>
            <w:r>
              <w:rPr>
                <w:rFonts w:hint="default" w:ascii="宋体" w:hAnsi="宋体" w:eastAsia="宋体" w:cs="宋体"/>
                <w:b w:val="0"/>
                <w:bCs/>
                <w:color w:val="000000"/>
                <w:kern w:val="0"/>
                <w:sz w:val="18"/>
                <w:szCs w:val="18"/>
                <w:highlight w:val="none"/>
                <w:lang w:val="en-US" w:eastAsia="zh-CN"/>
              </w:rPr>
              <w:t>2,225,964.55</w:t>
            </w:r>
          </w:p>
        </w:tc>
        <w:tc>
          <w:tcPr>
            <w:tcW w:w="11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b w:val="0"/>
                <w:bCs/>
                <w:color w:val="000000"/>
                <w:kern w:val="0"/>
                <w:sz w:val="18"/>
                <w:szCs w:val="18"/>
                <w:highlight w:val="none"/>
                <w:lang w:val="en-US" w:eastAsia="zh-CN"/>
              </w:rPr>
              <w:t>-</w:t>
            </w:r>
          </w:p>
        </w:tc>
        <w:tc>
          <w:tcPr>
            <w:tcW w:w="3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保证人：</w:t>
            </w:r>
            <w:r>
              <w:rPr>
                <w:rStyle w:val="12"/>
                <w:lang w:val="en-US" w:eastAsia="zh-CN" w:bidi="ar"/>
              </w:rPr>
              <w:t>保证人禹州市文兴矿业有限公司，禹州市张得乡安发瓷球厂，赵国保，杨国安，杨亚君，赵妮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59" w:type="pct"/>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1386"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color w:val="000000"/>
                <w:kern w:val="0"/>
                <w:sz w:val="18"/>
                <w:szCs w:val="18"/>
                <w:lang w:bidi="ar"/>
              </w:rPr>
              <w:t>41,973,453.97</w:t>
            </w:r>
          </w:p>
        </w:tc>
        <w:tc>
          <w:tcPr>
            <w:tcW w:w="1465" w:type="dxa"/>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color w:val="000000"/>
                <w:kern w:val="0"/>
                <w:sz w:val="18"/>
                <w:szCs w:val="18"/>
                <w:lang w:bidi="ar"/>
              </w:rPr>
              <w:t>21,794,023.40</w:t>
            </w:r>
          </w:p>
        </w:tc>
        <w:tc>
          <w:tcPr>
            <w:tcW w:w="11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color w:val="000000"/>
                <w:kern w:val="0"/>
                <w:sz w:val="18"/>
                <w:szCs w:val="18"/>
                <w:highlight w:val="none"/>
                <w:lang w:val="en-US" w:eastAsia="zh-CN"/>
              </w:rPr>
              <w:t>249</w:t>
            </w:r>
            <w:r>
              <w:rPr>
                <w:rFonts w:hint="eastAsia" w:ascii="宋体" w:hAnsi="宋体" w:eastAsia="宋体" w:cs="宋体"/>
                <w:b/>
                <w:color w:val="000000"/>
                <w:kern w:val="0"/>
                <w:sz w:val="18"/>
                <w:szCs w:val="18"/>
                <w:highlight w:val="none"/>
              </w:rPr>
              <w:t>,</w:t>
            </w:r>
            <w:r>
              <w:rPr>
                <w:rFonts w:hint="eastAsia" w:ascii="宋体" w:hAnsi="宋体" w:eastAsia="宋体" w:cs="宋体"/>
                <w:b/>
                <w:color w:val="000000"/>
                <w:kern w:val="0"/>
                <w:sz w:val="18"/>
                <w:szCs w:val="18"/>
                <w:highlight w:val="none"/>
                <w:lang w:val="en-US" w:eastAsia="zh-CN"/>
              </w:rPr>
              <w:t>557</w:t>
            </w:r>
            <w:r>
              <w:rPr>
                <w:rFonts w:hint="eastAsia" w:ascii="宋体" w:hAnsi="宋体" w:eastAsia="宋体" w:cs="宋体"/>
                <w:b/>
                <w:color w:val="000000"/>
                <w:kern w:val="0"/>
                <w:sz w:val="18"/>
                <w:szCs w:val="18"/>
                <w:highlight w:val="none"/>
              </w:rPr>
              <w:t>.00</w:t>
            </w:r>
          </w:p>
        </w:tc>
        <w:tc>
          <w:tcPr>
            <w:tcW w:w="1911" w:type="pct"/>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cs="宋体"/>
                <w:b/>
                <w:bCs/>
                <w:i w:val="0"/>
                <w:color w:val="000000"/>
                <w:kern w:val="0"/>
                <w:sz w:val="18"/>
                <w:szCs w:val="18"/>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上述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债权金额仅为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现有债权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资料所作的一般性描述，可能存在计算误差、记录错误，或因其他原因导致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意向受让方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实际接收的标的债权所涉金额（包括但不限于本息数，下同）与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上述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金额不完全一致，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对此等金额误差、记录错误无须承担任何责任；</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此次系按照标的债权的现状进行转让，若该等债权的有效性、金额与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判断或裁判机构最终认定的有效性、金额存在差别、误差，并不属于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违约。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color w:val="000000" w:themeColor="text1"/>
          <w:kern w:val="2"/>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债权详情以债权凭证和债权档案为准。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b/>
          <w:bCs/>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风险提示</w:t>
      </w:r>
      <w:r>
        <w:rPr>
          <w:rFonts w:hint="eastAsia" w:asciiTheme="minorEastAsia" w:hAnsiTheme="minorEastAsia" w:eastAsiaTheme="minorEastAsia"/>
          <w:b/>
          <w:bCs/>
          <w:color w:val="000000" w:themeColor="text1"/>
          <w:kern w:val="0"/>
          <w:sz w:val="28"/>
          <w:szCs w:val="28"/>
          <w:lang w:val="en-US" w:eastAsia="zh-CN"/>
          <w14:textFill>
            <w14:solidFill>
              <w14:schemeClr w14:val="tx1"/>
            </w14:solidFill>
          </w14:textFill>
        </w:rPr>
        <w:t>及瑕疵披露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就标的债权转让事宜，</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val="0"/>
          <w:bCs/>
          <w:color w:val="000000" w:themeColor="text1"/>
          <w:sz w:val="28"/>
          <w:szCs w:val="28"/>
          <w14:textFill>
            <w14:solidFill>
              <w14:schemeClr w14:val="tx1"/>
            </w14:solidFill>
          </w14:textFill>
        </w:rPr>
        <w:t>特向</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作出如下风险提示；</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对以下风险表示完全知晓并自愿承担由此可能发生的不利法律或其他后果。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受让的标的债权，可能因法律或政策的不明朗，在</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受让后以其名义向法院或仲裁机构提起诉讼或仲裁、申请变更诉讼或执行主体时，该等法院或仲裁机构不予受理、不予审理、不予支持、不予变更、不予执行等致使</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权利难以行使或落空的风险。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已被告知并完全理解，其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受让的标的债权可能存在着瑕疵或尚未发现的重大缺陷，以至于</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预期利益无法最终实现。</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并同意，</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对所转让的标的债权不承担法律上的合法性、有效性等瑕疵担保责任。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已被告知并完全理解，</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受让的标的债权，可能因存在计算误差或发生变动等，从而导致</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实际接收的标的债权金额与</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公告</w:t>
      </w:r>
      <w:r>
        <w:rPr>
          <w:rFonts w:hint="eastAsia" w:asciiTheme="minorEastAsia" w:hAnsiTheme="minorEastAsia" w:eastAsiaTheme="minorEastAsia"/>
          <w:color w:val="000000" w:themeColor="text1"/>
          <w:sz w:val="28"/>
          <w:szCs w:val="28"/>
          <w14:textFill>
            <w14:solidFill>
              <w14:schemeClr w14:val="tx1"/>
            </w14:solidFill>
          </w14:textFill>
        </w:rPr>
        <w:t>列明的债权金额不完全一致。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不能根据</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协议的约定将该等债权转让给</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或转让行为无效或使</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存在获得该等债权的障碍，</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对此表示理解与接受，放弃追究</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的任何责任。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b w:val="0"/>
          <w:bCs w:val="0"/>
          <w:color w:val="000000" w:themeColor="text1"/>
          <w:sz w:val="28"/>
          <w:szCs w:val="28"/>
          <w14:textFill>
            <w14:solidFill>
              <w14:schemeClr w14:val="tx1"/>
            </w14:solidFill>
          </w14:textFill>
        </w:rPr>
        <w:t>受让的标的债权及其从权利可能存在的瑕疵或重大缺陷包括但不限于下列一项或多项：</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（2</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val="0"/>
          <w:color w:val="000000" w:themeColor="text1"/>
          <w:sz w:val="28"/>
          <w:szCs w:val="28"/>
          <w14:textFill>
            <w14:solidFill>
              <w14:schemeClr w14:val="tx1"/>
            </w14:solidFill>
          </w14:textFill>
        </w:rPr>
        <w:t>标的债权可能存在未生效、无效或被撤销的情形；</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（3</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val="0"/>
          <w:color w:val="000000" w:themeColor="text1"/>
          <w:sz w:val="28"/>
          <w:szCs w:val="28"/>
          <w14:textFill>
            <w14:solidFill>
              <w14:schemeClr w14:val="tx1"/>
            </w14:solidFill>
          </w14:textFill>
        </w:rPr>
        <w:t>标的债权可能已超过诉讼时效或丧失相关的法定期间或因其他原因已部分消灭或成为自然债；</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（5）标的债权附属的保证协议约定主债权不可转让或只对特定债权人承担保证责任；</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（7）标的债权的保证已过诉讼时效；</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（8）标的债权的担保物权在主债权诉讼时效完成后未予行使；</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（9）标的债权的担保物权因担保物灭失而消灭，且没有代位物或其他物上代位权可行使；</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default"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抵押物存在多轮查封；</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（12）部分标的债权可能已被全部或部分减免、被抵销、被清偿；</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（15）已经进入诉讼程序的不良资产债权，可能存在由于</w:t>
      </w: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转让方</w:t>
      </w: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未能在法律规定的期限内申请继续查封而导致</w:t>
      </w: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转让方</w:t>
      </w: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对债务人的资产失去控制；</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（16）标的债权在交易基准日后仍会发生变化；</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（18）原债权人未就标的债权的转让通知债务人使得债权转让尚未对债务人发生法律效力；</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420" w:firstLineChars="150"/>
        <w:textAlignment w:val="auto"/>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14:textFill>
            <w14:solidFill>
              <w14:schemeClr w14:val="tx1"/>
            </w14:solidFill>
          </w14:textFill>
        </w:rPr>
        <w:t>（19）可能存在诉讼或执行主体无法变更、利息无法得到支持以及因前手无法提供资料等原因导致无法启动或者推进司法追偿程序等瑕疵；</w:t>
      </w:r>
    </w:p>
    <w:p>
      <w:pPr>
        <w:keepNext w:val="0"/>
        <w:keepLines w:val="0"/>
        <w:pageBreakBefore w:val="0"/>
        <w:widowControl w:val="0"/>
        <w:tabs>
          <w:tab w:val="left" w:pos="666"/>
        </w:tabs>
        <w:kinsoku/>
        <w:wordWrap/>
        <w:overflowPunct/>
        <w:topLinePunct w:val="0"/>
        <w:autoSpaceDE/>
        <w:autoSpaceDN/>
        <w:bidi w:val="0"/>
        <w:adjustRightInd/>
        <w:snapToGrid/>
        <w:spacing w:line="600" w:lineRule="exact"/>
        <w:ind w:firstLine="560" w:firstLineChars="200"/>
        <w:textAlignment w:val="auto"/>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20</w:t>
      </w:r>
      <w:r>
        <w:rPr>
          <w:rFonts w:hint="eastAsia" w:cs="Times New Roman"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标的债权的债务人涉诉涉执案件较多；</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（21）森源发制品债权抵押物存在他人租赁占用，同时房产所有权证号为禹房权证禹州字第069254号的房产（面积98.4m2）已灭失，可能对抵押物处置造成一定障碍；</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（22）豫广园林债权项下抵押物已处置，该笔债权目前为纯保证债权。保证人名下房产我方虽已查封，但系轮候查封，房产均存在抵押且有多轮查封；</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（23）豫广园林债权此前于执行程序中的受偿金额包含本案的诉讼费、执行费、评估费，我方因向债务人催收产生的相关诉讼债权（诉讼费、评估费、执行费）已经得到清偿，该部分债权已无法随主债权转让；</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b w:val="0"/>
          <w:bCs w:val="0"/>
          <w:color w:val="000000" w:themeColor="text1"/>
          <w:sz w:val="28"/>
          <w:szCs w:val="28"/>
          <w:lang w:val="en-US" w:eastAsia="zh-CN"/>
          <w14:textFill>
            <w14:solidFill>
              <w14:schemeClr w14:val="tx1"/>
            </w14:solidFill>
          </w14:textFill>
        </w:rPr>
        <w:t>（24）国光陶瓷债权保证人杨亚君被查封房产因案外人在原债权行执行期间提出异议，已被解除查封。</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60" w:firstLineChars="200"/>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5）</w:t>
      </w:r>
      <w:r>
        <w:rPr>
          <w:rFonts w:hint="eastAsia" w:ascii="宋体" w:hAnsi="宋体" w:eastAsia="宋体" w:cs="宋体"/>
          <w:sz w:val="28"/>
          <w:szCs w:val="28"/>
          <w:lang w:eastAsia="zh-CN"/>
        </w:rPr>
        <w:t>出现以下任一情形均视为买受人竞价违约，</w:t>
      </w:r>
      <w:r>
        <w:rPr>
          <w:rFonts w:hint="eastAsia" w:ascii="宋体" w:hAnsi="宋体" w:cs="宋体"/>
          <w:sz w:val="28"/>
          <w:szCs w:val="28"/>
          <w:lang w:val="en-US" w:eastAsia="zh-CN"/>
        </w:rPr>
        <w:t>华融河南分公司</w:t>
      </w:r>
      <w:r>
        <w:rPr>
          <w:rFonts w:hint="eastAsia" w:ascii="宋体" w:hAnsi="宋体" w:eastAsia="宋体" w:cs="宋体"/>
          <w:sz w:val="28"/>
          <w:szCs w:val="28"/>
          <w:lang w:eastAsia="zh-CN"/>
        </w:rPr>
        <w:t>有权另行处置标的债权资产（另行处置的，原买受人不得参加竞买）并将直接追究买受人的违约责任：①竞价成功后，买受人未在挂牌成功之日起</w:t>
      </w:r>
      <w:r>
        <w:rPr>
          <w:rFonts w:hint="eastAsia" w:ascii="宋体" w:hAnsi="宋体" w:cs="宋体"/>
          <w:sz w:val="28"/>
          <w:szCs w:val="28"/>
          <w:lang w:val="en-US" w:eastAsia="zh-CN"/>
        </w:rPr>
        <w:t>七</w:t>
      </w:r>
      <w:r>
        <w:rPr>
          <w:rFonts w:hint="eastAsia" w:ascii="宋体" w:hAnsi="宋体" w:eastAsia="宋体" w:cs="宋体"/>
          <w:sz w:val="28"/>
          <w:szCs w:val="28"/>
          <w:lang w:eastAsia="zh-CN"/>
        </w:rPr>
        <w:t>个工作日</w:t>
      </w:r>
      <w:r>
        <w:rPr>
          <w:rFonts w:hint="eastAsia" w:ascii="宋体" w:hAnsi="宋体" w:cs="宋体"/>
          <w:sz w:val="28"/>
          <w:szCs w:val="28"/>
          <w:lang w:eastAsia="zh-CN"/>
        </w:rPr>
        <w:t>（</w:t>
      </w:r>
      <w:r>
        <w:rPr>
          <w:rFonts w:hint="eastAsia" w:ascii="宋体" w:hAnsi="宋体" w:cs="宋体"/>
          <w:sz w:val="28"/>
          <w:szCs w:val="28"/>
          <w:lang w:val="en-US" w:eastAsia="zh-CN"/>
        </w:rPr>
        <w:t>含成交当日</w:t>
      </w:r>
      <w:r>
        <w:rPr>
          <w:rFonts w:hint="eastAsia" w:ascii="宋体" w:hAnsi="宋体" w:cs="宋体"/>
          <w:sz w:val="28"/>
          <w:szCs w:val="28"/>
          <w:lang w:eastAsia="zh-CN"/>
        </w:rPr>
        <w:t>）</w:t>
      </w:r>
      <w:r>
        <w:rPr>
          <w:rFonts w:hint="eastAsia" w:ascii="宋体" w:hAnsi="宋体" w:eastAsia="宋体" w:cs="宋体"/>
          <w:sz w:val="28"/>
          <w:szCs w:val="28"/>
          <w:lang w:eastAsia="zh-CN"/>
        </w:rPr>
        <w:t>内与华融河南分公司签署《债权转让协议》的；②买受人签署《债权转让协议》之日起的</w:t>
      </w:r>
      <w:r>
        <w:rPr>
          <w:rFonts w:hint="eastAsia" w:ascii="宋体" w:hAnsi="宋体" w:cs="宋体"/>
          <w:sz w:val="28"/>
          <w:szCs w:val="28"/>
          <w:lang w:val="en-US" w:eastAsia="zh-CN"/>
        </w:rPr>
        <w:t>五</w:t>
      </w:r>
      <w:r>
        <w:rPr>
          <w:rFonts w:hint="eastAsia" w:ascii="宋体" w:hAnsi="宋体" w:eastAsia="宋体" w:cs="宋体"/>
          <w:sz w:val="28"/>
          <w:szCs w:val="28"/>
          <w:lang w:eastAsia="zh-CN"/>
        </w:rPr>
        <w:t>个工作日</w:t>
      </w:r>
      <w:r>
        <w:rPr>
          <w:rFonts w:hint="eastAsia" w:ascii="宋体" w:hAnsi="宋体" w:cs="宋体"/>
          <w:sz w:val="28"/>
          <w:szCs w:val="28"/>
          <w:lang w:eastAsia="zh-CN"/>
        </w:rPr>
        <w:t>（</w:t>
      </w:r>
      <w:r>
        <w:rPr>
          <w:rFonts w:hint="eastAsia" w:ascii="宋体" w:hAnsi="宋体" w:cs="宋体"/>
          <w:sz w:val="28"/>
          <w:szCs w:val="28"/>
          <w:lang w:val="en-US" w:eastAsia="zh-CN"/>
        </w:rPr>
        <w:t>含成交当日</w:t>
      </w:r>
      <w:r>
        <w:rPr>
          <w:rFonts w:hint="eastAsia" w:ascii="宋体" w:hAnsi="宋体" w:cs="宋体"/>
          <w:sz w:val="28"/>
          <w:szCs w:val="28"/>
          <w:lang w:eastAsia="zh-CN"/>
        </w:rPr>
        <w:t>）</w:t>
      </w:r>
      <w:r>
        <w:rPr>
          <w:rFonts w:hint="eastAsia" w:ascii="宋体" w:hAnsi="宋体" w:eastAsia="宋体" w:cs="宋体"/>
          <w:sz w:val="28"/>
          <w:szCs w:val="28"/>
          <w:lang w:eastAsia="zh-CN"/>
        </w:rPr>
        <w:t>内未付清购买价款的。</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pPr>
      <w:r>
        <w:rPr>
          <w:rFonts w:hint="eastAsia" w:ascii="宋体" w:hAnsi="宋体" w:eastAsia="宋体" w:cs="宋体"/>
          <w:sz w:val="28"/>
          <w:szCs w:val="28"/>
          <w:lang w:eastAsia="zh-CN"/>
        </w:rPr>
        <w:t>注：竞价违约责任包括但不限于：①买受人参加竞价活动缴纳的竞价保证金直接转变为违约金，华融河南分公司对上述违约金直接予以没收。②若因原买受人原因，我方另行处置标的债权，若另行处置价值与本次公开竞价成交价格之间存在差额，则原买受人应补足此差额，并承担另行处置资产所产生的费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551" w:firstLineChars="196"/>
        <w:jc w:val="both"/>
        <w:textAlignment w:val="auto"/>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三、</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highlight w:val="none"/>
          <w14:textFill>
            <w14:solidFill>
              <w14:schemeClr w14:val="tx1"/>
            </w14:solidFill>
          </w14:textFill>
        </w:rPr>
        <w:t>声明和保证</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560" w:firstLineChars="200"/>
        <w:jc w:val="both"/>
        <w:textAlignment w:val="auto"/>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1、意向竞买人</w:t>
      </w:r>
      <w:r>
        <w:rPr>
          <w:rFonts w:hint="eastAsia" w:asciiTheme="minorEastAsia" w:hAnsiTheme="minorEastAsia" w:eastAsiaTheme="minorEastAsia"/>
          <w:b w:val="0"/>
          <w:caps w:val="0"/>
          <w:color w:val="000000" w:themeColor="text1"/>
          <w:kern w:val="2"/>
          <w:sz w:val="28"/>
          <w:szCs w:val="28"/>
          <w:lang w:val="en-US" w:eastAsia="zh-CN"/>
          <w14:textFill>
            <w14:solidFill>
              <w14:schemeClr w14:val="tx1"/>
            </w14:solidFill>
          </w14:textFill>
        </w:rPr>
        <w:t>拥有购买</w:t>
      </w: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的授权和权利。</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承诺具备收购标的债权的受让资格，符合现行法律法规及其他相关规范性文件有关受让资格的规定，包括但不限于自身</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非以下</w:t>
      </w:r>
      <w:r>
        <w:rPr>
          <w:rFonts w:hint="eastAsia"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t>人员：国家公务员、金融监管机构工作人员、政法干警、金融资产公司工作人员、原债务人的管理层或其直系亲属以及参与资产处置工作的律师、会计师、评估师等中介机构人员等关联人。资产原债务人及关联企业等利益相关方不得参与资产的折价购买。</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560" w:firstLineChars="200"/>
        <w:jc w:val="both"/>
        <w:textAlignment w:val="auto"/>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t>3、意向竞买人已自行评估了标的债权可能的可回收性，并且独立地作出签署相关协议的决定，未依赖转让方所作的任何</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声明。</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Theme="minorEastAsia" w:hAnsiTheme="minorEastAsia" w:eastAsia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b/>
          <w:bCs w:val="0"/>
          <w:caps/>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b/>
          <w:bCs w:val="0"/>
          <w:cap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已经对标的债权进行了必要的调查，并被告知并完全了解标的债权，可能存在瑕疵或尚未发现的重大缺陷或因各种因素难以得到清偿以致</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预期利益可能无法最终实现。</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对于标的债权存在的风险，包括但不限于债权所包含的利息、罚息请求权不确定性的风险，在受让债权后以</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名义向法院或仲裁机构提起诉讼或仲裁、申请变更诉讼请求或执行主体时不被法院或仲裁机构受理、审理、变更、执行等致使或可能致使</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已受让债权权利难以行使或落空的风险等，进行了评估并自愿承担由上述风险造成的一切损失或预期利益的丧失，该损失或预期利益的丧失与</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bCs w:val="0"/>
          <w:color w:val="000000" w:themeColor="text1"/>
          <w:sz w:val="28"/>
          <w:szCs w:val="28"/>
          <w14:textFill>
            <w14:solidFill>
              <w14:schemeClr w14:val="tx1"/>
            </w14:solidFill>
          </w14:textFill>
        </w:rPr>
        <w:t>无关。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承诺</w:t>
      </w:r>
      <w:r>
        <w:rPr>
          <w:rFonts w:hint="eastAsia" w:asciiTheme="minorEastAsia" w:hAnsiTheme="minorEastAsia" w:eastAsiaTheme="minorEastAsia"/>
          <w:color w:val="000000" w:themeColor="text1"/>
          <w:sz w:val="28"/>
          <w:szCs w:val="28"/>
          <w14:textFill>
            <w14:solidFill>
              <w14:schemeClr w14:val="tx1"/>
            </w14:solidFill>
          </w14:textFill>
        </w:rPr>
        <w:t>就</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标的债权</w:t>
      </w:r>
      <w:r>
        <w:rPr>
          <w:rFonts w:hint="eastAsia" w:asciiTheme="minorEastAsia" w:hAnsiTheme="minorEastAsia" w:eastAsiaTheme="minorEastAsia"/>
          <w:color w:val="000000" w:themeColor="text1"/>
          <w:sz w:val="28"/>
          <w:szCs w:val="28"/>
          <w14:textFill>
            <w14:solidFill>
              <w14:schemeClr w14:val="tx1"/>
            </w14:solidFill>
          </w14:textFill>
        </w:rPr>
        <w:t>，在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协议生效后，不向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提出任何调整、退还、替换、相应减少转让价款的请求及其他类似请求。不得以重大误解、显失公平或其他任何理向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由主张变更、撤销、解除</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债权转让</w:t>
      </w:r>
      <w:r>
        <w:rPr>
          <w:rFonts w:hint="eastAsia" w:asciiTheme="minorEastAsia" w:hAnsiTheme="minorEastAsia" w:eastAsiaTheme="minorEastAsia"/>
          <w:color w:val="000000" w:themeColor="text1"/>
          <w:sz w:val="28"/>
          <w:szCs w:val="28"/>
          <w14:textFill>
            <w14:solidFill>
              <w14:schemeClr w14:val="tx1"/>
            </w14:solidFill>
          </w14:textFill>
        </w:rPr>
        <w:t>协议或减损协议效力及其他类似请求。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支付的标的债权转让价款为</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通过合法途径获得的来源合法的资金。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保证在其取得标的债权后，将严格按照中国法律法规许可的方式处置标的债权，不以</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的名义对外进行追收，并不得采取任何非法形式或损害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的利益，若出现违法行为或损害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利益等情形，</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应承担一切法律责任。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进一步向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承诺，只要其应向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支付的标的债权转让价款（包括因其延期支付而产生的逾期付款违约金）尚未完全付清，</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须严格履行下述义务：（1）</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应根据</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的要求向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提供其经营情况报告；（2）如发生针对</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或与其有关的诉讼、仲裁或争议，而其结果可能严重影响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的财务状况、业务经营及支付能力时，</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应立即通知</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，并应及时向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提供其合理要求的有关诉讼、仲裁或争议的情况、资料。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保证并承诺若发生标的债权中任何债权的主债务人、担保人、任何第三方针对</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转让的债权所提起的任何诉讼、仲裁等行为，所有责任和风险由</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在对标的债权进行尽职调查的过程中被告知标的债权可能会因国家法律、法规、司法解释的规定存在债权优先购买权人，</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并充分理解</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在处置国有企业作为债务人的债权过程作出的决策。</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不可撤销地承诺：如享有标的债权优先购买权的主体行使优先购买权导致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协议被撤销、解除或无效的，</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无须因此向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承担任何的违约责任。如</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已将标的债权转让给</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将标的债权按照签署协议时的状态（包括但不限于标的债权债权文件）返还给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后，</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将向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返还已收取的债权转让价款，但该等款项在</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账户存续期间的利息无需退还。</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11、</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在受让标的债权过程中对原债权人所作出的任何声明、承诺等事项在转让后同样对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后手继受方和后续任何其他资产接收方具有约束力，</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不会向原债权人提出任何权利主张或追索。</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将在其与后手继受方签订的相关协议中约定：（1）</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后手继受方和后续任何资产接收方不能就原债权人已转让给</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的债权向</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及原债权人提出任何权利主张及违约责任；（2）</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后手继受方和后续任何资产接收方若转让资产，将在相关协议中与其他继受方和资产接收方作出同样约定。</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将遵守上述承诺，以履行原债权人在转让协议中对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的约束。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保证将不会因受让的标的债权而对中国国家及各级政府以及政府部门以任何方式行使追索权（包括但不限于不会按照中国法律有关规定向中国国家及各级政府以及政府部门行使担保权利人的权利）。如</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日后将标的债权之整体或部分再转让给任何第三方，</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将确保该受让方作出相同承诺，及保证该等第三方的主体资质符合</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针对此次标的债权的转让而设定的关于标的债权受让方的主体资质之要求，并要求该等第三方日后如有类似转让行为，其亦应保证下一手的受让方之主体资质符合上述要求，否则，由此导致之任何纠纷、责任概由</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自行承担。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违反上述约定行使任何针对中国国家及其政府部门的请求权，并导致中国国家及其政府部门败诉，且自中国国家、其政府部门或其他责任主体获得金钱、权益或实物等方面的受偿或赔付，</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须在获得金钱、权益或实物等方面的受偿或赔付之日起的三个工作日内将其全部取得无条件地全数支付给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或</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指定的其他主体，并按</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协议约定承担违约责任。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13、</w:t>
      </w:r>
      <w:r>
        <w:rPr>
          <w:rFonts w:hint="eastAsia" w:asciiTheme="minorEastAsia" w:hAnsiTheme="minorEastAsia" w:eastAsiaTheme="minorEastAsia"/>
          <w:color w:val="000000" w:themeColor="text1"/>
          <w:kern w:val="0"/>
          <w:sz w:val="28"/>
          <w:szCs w:val="28"/>
          <w14:textFill>
            <w14:solidFill>
              <w14:schemeClr w14:val="tx1"/>
            </w14:solidFill>
          </w14:textFill>
        </w:rPr>
        <w:t>除</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故意隐瞒、欺诈、伪造而产生的瑕疵外，</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不得对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行使追索权。</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14、</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负有配合</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开展反洗钱工作的义务，包括按照</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要求如实提供包括但不限于</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及其受益所有人身份信息、资金来源、交易目的及相关证明文件、财务报表及其他</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需要的任何资料与信息，并保证所提供给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资料及信息的真实、准确及完整。</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应确保合作期间持续满足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反洗钱客户及其受益所有人身份持续识别及风险等级动态评估工作需要，及时向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及其受益所有人信息变更情况。</w:t>
      </w:r>
    </w:p>
    <w:p>
      <w:pPr>
        <w:pStyle w:val="11"/>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我方已仔细阅读上述风险及瑕疵</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声明</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并对上述风险及瑕疵表示完全知晓并自愿承担由此可能发生的不利法律或其他后果，我方对标的债权的现状和瑕疵等无任何异议。另，上述声明及保证系我方真实意思表示，若我方违反上述声明和保证，则我方自愿承担因此造成的转让方的一切损失。</w:t>
      </w:r>
    </w:p>
    <w:p>
      <w:pPr>
        <w:pStyle w:val="11"/>
        <w:widowControl w:val="0"/>
        <w:spacing w:line="560" w:lineRule="exact"/>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p>
    <w:p>
      <w:pPr>
        <w:pStyle w:val="11"/>
        <w:widowControl w:val="0"/>
        <w:spacing w:line="560" w:lineRule="exact"/>
        <w:ind w:firstLine="2520" w:firstLineChars="9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意向竞买人（公章或自然人签字并按指印）：</w:t>
      </w:r>
    </w:p>
    <w:p>
      <w:pPr>
        <w:pStyle w:val="11"/>
        <w:widowControl w:val="0"/>
        <w:spacing w:line="560" w:lineRule="exact"/>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p>
    <w:p>
      <w:pPr>
        <w:pStyle w:val="11"/>
        <w:widowControl w:val="0"/>
        <w:spacing w:line="560" w:lineRule="exact"/>
        <w:ind w:firstLine="3080" w:firstLineChars="11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法定代表人或授权代理人（签字）：</w:t>
      </w:r>
    </w:p>
    <w:p>
      <w:pPr>
        <w:pStyle w:val="11"/>
        <w:widowControl w:val="0"/>
        <w:spacing w:line="560" w:lineRule="exact"/>
        <w:ind w:firstLine="2800" w:firstLineChars="10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p>
    <w:p>
      <w:pPr>
        <w:pStyle w:val="11"/>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bookmarkStart w:id="0" w:name="_GoBack"/>
      <w:bookmarkEnd w:id="0"/>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5EDFC1"/>
    <w:multiLevelType w:val="singleLevel"/>
    <w:tmpl w:val="EA5EDFC1"/>
    <w:lvl w:ilvl="0" w:tentative="0">
      <w:start w:val="2"/>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pStyle w:val="3"/>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NWQxMmY1N2FiNjc2MzM1ODE4ZDNkMGQwYTQ0Y2QifQ=="/>
  </w:docVars>
  <w:rsids>
    <w:rsidRoot w:val="59CD0807"/>
    <w:rsid w:val="00257AEC"/>
    <w:rsid w:val="0062047C"/>
    <w:rsid w:val="03CF5817"/>
    <w:rsid w:val="04636BAE"/>
    <w:rsid w:val="047F54B9"/>
    <w:rsid w:val="04B550F2"/>
    <w:rsid w:val="065546F1"/>
    <w:rsid w:val="06742672"/>
    <w:rsid w:val="08243F53"/>
    <w:rsid w:val="094E71DE"/>
    <w:rsid w:val="0981547F"/>
    <w:rsid w:val="0B6941DA"/>
    <w:rsid w:val="0D2D358B"/>
    <w:rsid w:val="0DFA7CA7"/>
    <w:rsid w:val="0E644FF3"/>
    <w:rsid w:val="12A762DD"/>
    <w:rsid w:val="12D96A71"/>
    <w:rsid w:val="139C64C1"/>
    <w:rsid w:val="14EA15BC"/>
    <w:rsid w:val="15B71D18"/>
    <w:rsid w:val="166371DB"/>
    <w:rsid w:val="17084629"/>
    <w:rsid w:val="18C80262"/>
    <w:rsid w:val="19D9054D"/>
    <w:rsid w:val="1A655895"/>
    <w:rsid w:val="1C2F52E0"/>
    <w:rsid w:val="1C5C51BE"/>
    <w:rsid w:val="1DFD14A7"/>
    <w:rsid w:val="1E5B1CED"/>
    <w:rsid w:val="2071581C"/>
    <w:rsid w:val="22287F01"/>
    <w:rsid w:val="226C451D"/>
    <w:rsid w:val="26AF7612"/>
    <w:rsid w:val="270363A4"/>
    <w:rsid w:val="279F6AD4"/>
    <w:rsid w:val="283037A6"/>
    <w:rsid w:val="28E5597D"/>
    <w:rsid w:val="29060E9A"/>
    <w:rsid w:val="29793119"/>
    <w:rsid w:val="297C0EFA"/>
    <w:rsid w:val="2A382A01"/>
    <w:rsid w:val="2D147DDD"/>
    <w:rsid w:val="2EDC5556"/>
    <w:rsid w:val="2F667D39"/>
    <w:rsid w:val="34284CF3"/>
    <w:rsid w:val="34BB756E"/>
    <w:rsid w:val="351158E9"/>
    <w:rsid w:val="355E0625"/>
    <w:rsid w:val="36D82E98"/>
    <w:rsid w:val="373B0321"/>
    <w:rsid w:val="37F678D9"/>
    <w:rsid w:val="380C7145"/>
    <w:rsid w:val="39382F3B"/>
    <w:rsid w:val="3A00127D"/>
    <w:rsid w:val="3B3232D4"/>
    <w:rsid w:val="3C123F18"/>
    <w:rsid w:val="3E2959E9"/>
    <w:rsid w:val="4017431F"/>
    <w:rsid w:val="403B1563"/>
    <w:rsid w:val="408D2F18"/>
    <w:rsid w:val="42265631"/>
    <w:rsid w:val="451548D5"/>
    <w:rsid w:val="45D31818"/>
    <w:rsid w:val="4AB16FF2"/>
    <w:rsid w:val="4BA72ADE"/>
    <w:rsid w:val="4D3D03C8"/>
    <w:rsid w:val="4E48215A"/>
    <w:rsid w:val="4E872543"/>
    <w:rsid w:val="4F4F3136"/>
    <w:rsid w:val="510E5D92"/>
    <w:rsid w:val="52535689"/>
    <w:rsid w:val="52D22650"/>
    <w:rsid w:val="52E62AA4"/>
    <w:rsid w:val="56C8194B"/>
    <w:rsid w:val="570425A5"/>
    <w:rsid w:val="59CD0807"/>
    <w:rsid w:val="5B5639C9"/>
    <w:rsid w:val="5CB1611D"/>
    <w:rsid w:val="5DE4417D"/>
    <w:rsid w:val="5FC66615"/>
    <w:rsid w:val="5FFC470D"/>
    <w:rsid w:val="616A07F2"/>
    <w:rsid w:val="643A4547"/>
    <w:rsid w:val="64E61CC6"/>
    <w:rsid w:val="67C223E6"/>
    <w:rsid w:val="680447AD"/>
    <w:rsid w:val="681D7750"/>
    <w:rsid w:val="683B134D"/>
    <w:rsid w:val="6B092C96"/>
    <w:rsid w:val="71517B09"/>
    <w:rsid w:val="71867AC9"/>
    <w:rsid w:val="77924FCC"/>
    <w:rsid w:val="77E51FBA"/>
    <w:rsid w:val="780D2E9D"/>
    <w:rsid w:val="7D670F53"/>
    <w:rsid w:val="7EFF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next w:val="1"/>
    <w:qFormat/>
    <w:uiPriority w:val="0"/>
    <w:pPr>
      <w:snapToGrid w:val="0"/>
      <w:spacing w:line="300" w:lineRule="auto"/>
      <w:ind w:firstLine="556"/>
    </w:pPr>
    <w:rPr>
      <w:rFonts w:ascii="仿宋_GB2312" w:hAnsi="仿宋_GB2312" w:cs="Times New Roman"/>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qFormat/>
    <w:uiPriority w:val="0"/>
    <w:pPr>
      <w:widowControl w:val="0"/>
      <w:spacing w:after="120"/>
      <w:ind w:firstLine="420"/>
      <w:jc w:val="both"/>
    </w:pPr>
    <w:rPr>
      <w:rFonts w:ascii="Times New Roman" w:hAnsi="Times New Roman" w:eastAsia="宋体" w:cs="Times New Roman"/>
      <w:color w:val="auto"/>
      <w:kern w:val="2"/>
      <w:sz w:val="21"/>
      <w:szCs w:val="20"/>
      <w:lang w:val="en-US" w:eastAsia="zh-CN" w:bidi="ar-SA"/>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Normal (Justified)"/>
    <w:basedOn w:val="1"/>
    <w:qFormat/>
    <w:uiPriority w:val="0"/>
    <w:pPr>
      <w:widowControl/>
    </w:pPr>
    <w:rPr>
      <w:snapToGrid w:val="0"/>
      <w:kern w:val="28"/>
      <w:sz w:val="24"/>
    </w:rPr>
  </w:style>
  <w:style w:type="character" w:customStyle="1" w:styleId="12">
    <w:name w:val="font5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5037</Words>
  <Characters>5129</Characters>
  <Lines>0</Lines>
  <Paragraphs>0</Paragraphs>
  <TotalTime>3</TotalTime>
  <ScaleCrop>false</ScaleCrop>
  <LinksUpToDate>false</LinksUpToDate>
  <CharactersWithSpaces>5207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2021-08-18T03:22:00Z</dcterms:created>
  <dc:creator>姚文杰</dc:creator>
  <cp:lastModifiedBy>张天鹏</cp:lastModifiedBy>
  <dcterms:modified xsi:type="dcterms:W3CDTF">2024-02-20T03:24:19Z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4B5672FF8CB34AD1B99A9E38721CFC79</vt:lpwstr>
  </property>
</Properties>
</file>